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right" w:pos="9620"/>
        </w:tabs>
        <w:spacing w:after="370" w:line="259" w:lineRule="auto"/>
        <w:ind w:left="0" w:firstLine="0"/>
        <w:jc w:val="left"/>
      </w:pPr>
      <w:r>
        <w:rPr>
          <w:sz w:val="16"/>
        </w:rPr>
        <w:t>Édité le :</w:t>
      </w:r>
      <w:r>
        <w:rPr>
          <w:sz w:val="16"/>
        </w:rPr>
        <w:tab/>
      </w:r>
      <w:r>
        <w:rPr>
          <w:sz w:val="16"/>
        </w:rPr>
        <w:t>15/02/2022</w:t>
      </w:r>
      <w:r>
        <w:rPr>
          <w:sz w:val="16"/>
        </w:rPr>
        <w:tab/>
      </w:r>
      <w:r>
        <w:rPr>
          <w:sz w:val="16"/>
        </w:rPr>
        <w:t>Révision : 001NEW-1-CLP du 15/02/2022</w:t>
      </w:r>
    </w:p>
    <w:p>
      <w:pPr>
        <w:pStyle w:val="2"/>
      </w:pPr>
      <w:r>
        <w:t>Fruits rouges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Fruits rouges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sz w:val="18"/>
        </w:rPr>
      </w:pPr>
      <w:r>
        <w:rPr>
          <w:rFonts w:hint="default"/>
          <w:sz w:val="18"/>
          <w:lang w:val="fr-FR"/>
        </w:rPr>
        <w:t>Tel:0679901519</w:t>
      </w:r>
      <w:bookmarkStart w:id="0" w:name="_GoBack"/>
      <w:bookmarkEnd w:id="0"/>
    </w:p>
    <w:p>
      <w:pPr>
        <w:spacing w:after="153"/>
        <w:ind w:right="67"/>
        <w:rPr>
          <w:sz w:val="18"/>
        </w:rPr>
      </w:pPr>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575" w:line="251" w:lineRule="auto"/>
        <w:ind w:left="-5" w:right="7405"/>
        <w:jc w:val="left"/>
      </w:pPr>
      <w:r>
        <w:rPr>
          <w:rFonts w:ascii="Microsoft Sans Serif" w:hAnsi="Microsoft Sans Serif" w:eastAsia="Microsoft Sans Serif" w:cs="Microsoft Sans Serif"/>
          <w:sz w:val="17"/>
        </w:rPr>
        <w:t>(LégislationCLP)</w:t>
      </w:r>
    </w:p>
    <w:p>
      <w:pPr>
        <w:spacing w:after="325" w:line="251" w:lineRule="auto"/>
        <w:ind w:left="-5" w:right="232"/>
        <w:jc w:val="left"/>
      </w:pPr>
      <w:r>
        <w:rPr>
          <w:rFonts w:ascii="Microsoft Sans Serif" w:hAnsi="Microsoft Sans Serif" w:eastAsia="Microsoft Sans Serif" w:cs="Microsoft Sans Serif"/>
          <w:sz w:val="17"/>
        </w:rPr>
        <w:t>EUH208 - Contient 3,7-dimethyloct-6-en-1-ol (citronellol), (4R)-1-methyl-4-prop-1-en-2-ylcyclohexene (dextro-limonene), 3,7dimethylocta-1,6-dien-3-ol (linalool), methyl 3-phenylprop-2-enoate (methyl cinnamate), 1-(2,6,6-trimethyl-1-cyclohexa-1,3dienyl)but-2-en-1-one (beta-damascenone).  Peut produire une réaction allergique EUH210 - Fiche de données de sécurité disponible sur demande.</w:t>
      </w:r>
    </w:p>
    <w:p>
      <w:pPr>
        <w:spacing w:after="136"/>
        <w:ind w:right="67"/>
      </w:pPr>
      <w:r>
        <w:t>2.2. Éléments d'étiquetage</w:t>
      </w:r>
    </w:p>
    <w:p>
      <w:pPr>
        <w:spacing w:after="87" w:line="259" w:lineRule="auto"/>
        <w:ind w:left="-5"/>
        <w:jc w:val="left"/>
      </w:pPr>
      <w:r>
        <w:rPr>
          <w:sz w:val="18"/>
          <w:u w:val="single" w:color="000000"/>
        </w:rPr>
        <w:t>Classification GHS :</w:t>
      </w:r>
    </w:p>
    <w:p>
      <w:pPr>
        <w:spacing w:after="952" w:line="251" w:lineRule="auto"/>
        <w:ind w:left="-5" w:right="7405"/>
        <w:jc w:val="left"/>
      </w:pPr>
      <w:r>
        <w:rPr>
          <w:rFonts w:ascii="Microsoft Sans Serif" w:hAnsi="Microsoft Sans Serif" w:eastAsia="Microsoft Sans Serif" w:cs="Microsoft Sans Serif"/>
          <w:sz w:val="17"/>
        </w:rPr>
        <w:t>(LégislationCLP)</w:t>
      </w:r>
    </w:p>
    <w:p>
      <w:pPr>
        <w:spacing w:after="506" w:line="237" w:lineRule="auto"/>
        <w:ind w:left="0" w:right="376" w:firstLine="0"/>
        <w:jc w:val="left"/>
      </w:pPr>
      <w:r>
        <w:rPr>
          <w:rFonts w:ascii="Tahoma" w:hAnsi="Tahoma" w:eastAsia="Tahoma" w:cs="Tahoma"/>
          <w:sz w:val="18"/>
        </w:rPr>
        <w:t>EUH208 - Contient 3,7-dimethyloct-6-en-1-ol (citronellol), (4R)-1-methyl-4-prop-1-en-2-ylcyclohexene (dextrolimonene), 3,7-dimethylocta-1,6-dien-3-ol (linalool), methyl 3-phenylprop-2-enoate (methyl cinnamate), 1-(2,6,6trimethyl-1-cyclohexa-1,3-dienyl)but-2-en-1-one (beta-damascenone).  Peut produire une réaction allergique EUH210 - Fiche de données de sécurité disponible sur demande.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71" w:type="dxa"/>
        </w:tblCellMar>
      </w:tblPr>
      <w:tblGrid>
        <w:gridCol w:w="3510"/>
        <w:gridCol w:w="991"/>
        <w:gridCol w:w="779"/>
        <w:gridCol w:w="2998"/>
        <w:gridCol w:w="1318"/>
      </w:tblGrid>
      <w:tr>
        <w:tblPrEx>
          <w:tblCellMar>
            <w:top w:w="48" w:type="dxa"/>
            <w:left w:w="54" w:type="dxa"/>
            <w:bottom w:w="0" w:type="dxa"/>
            <w:right w:w="71"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71" w:type="dxa"/>
          </w:tblCellMar>
        </w:tblPrEx>
        <w:trPr>
          <w:trHeight w:val="846"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 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1" w:type="dxa"/>
          </w:tblCellMar>
        </w:tblPrEx>
        <w:trPr>
          <w:trHeight w:val="66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1-(2,6,6-trimethyl-1-cyclohexa-1,3-dienyl)but-2en-1-one (beta-damascenone)   (No REACH :</w:t>
            </w:r>
          </w:p>
          <w:p>
            <w:pPr>
              <w:spacing w:after="0" w:line="259" w:lineRule="auto"/>
              <w:ind w:left="1" w:firstLine="0"/>
              <w:jc w:val="left"/>
            </w:pPr>
            <w:r>
              <w:rPr>
                <w:sz w:val="16"/>
              </w:rPr>
              <w:t>Exempté (&lt;1 T/an))</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23696-85-7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245-833-2</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2, Skin Irrit.</w:t>
            </w:r>
          </w:p>
          <w:p>
            <w:pPr>
              <w:spacing w:after="0" w:line="259" w:lineRule="auto"/>
              <w:ind w:left="0" w:firstLine="0"/>
              <w:jc w:val="left"/>
            </w:pPr>
            <w:r>
              <w:rPr>
                <w:sz w:val="16"/>
              </w:rPr>
              <w:t>2, Skin Sens. 1A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1"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3,7-dimethyloct-6-en-1-ol (citronellol)   (No</w:t>
            </w:r>
          </w:p>
          <w:p>
            <w:pPr>
              <w:spacing w:after="0" w:line="259" w:lineRule="auto"/>
              <w:ind w:left="1" w:firstLine="0"/>
              <w:jc w:val="left"/>
            </w:pPr>
            <w:r>
              <w:rPr>
                <w:sz w:val="16"/>
              </w:rPr>
              <w:t>REACH : 01-2119453995-23-XXXX)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106-22-9</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203-375-0</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1" w:type="dxa"/>
          </w:tblCellMar>
        </w:tblPrEx>
        <w:trPr>
          <w:trHeight w:val="47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3,7-dimethylocta-1,6-dien-3-ol (linalool)   (No</w:t>
            </w:r>
          </w:p>
          <w:p>
            <w:pPr>
              <w:spacing w:after="0" w:line="259" w:lineRule="auto"/>
              <w:ind w:left="1" w:firstLine="0"/>
              <w:jc w:val="left"/>
            </w:pPr>
            <w:r>
              <w:rPr>
                <w:sz w:val="16"/>
              </w:rPr>
              <w:t>REACH : 01-2119474016-42-XXXX)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78-70-6</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201-134-4</w:t>
            </w:r>
          </w:p>
        </w:tc>
        <w:tc>
          <w:tcPr>
            <w:tcW w:w="2998" w:type="dxa"/>
            <w:tcBorders>
              <w:top w:val="double" w:color="C0C0C0" w:sz="2" w:space="0"/>
              <w:left w:val="single" w:color="C0C0C0" w:sz="4" w:space="0"/>
              <w:bottom w:val="sing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1" w:type="dxa"/>
          </w:tblCellMar>
        </w:tblPrEx>
        <w:trPr>
          <w:trHeight w:val="647"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methyl 3-phenylprop-2-enoate (methyl cinnamate)   (No REACH : 01-2119979458-16-0000)</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2" w:firstLine="0"/>
              <w:jc w:val="center"/>
            </w:pPr>
            <w:r>
              <w:rPr>
                <w:sz w:val="14"/>
              </w:rPr>
              <w:t>103-26-4</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203-093-8</w:t>
            </w:r>
          </w:p>
        </w:tc>
        <w:tc>
          <w:tcPr>
            <w:tcW w:w="2998"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 w:firstLine="0"/>
              <w:jc w:val="left"/>
            </w:pPr>
            <w:r>
              <w:rPr>
                <w:sz w:val="16"/>
              </w:rPr>
              <w:t>Skin Sens. 1B - H317</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7"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after="763" w:line="427" w:lineRule="auto"/>
        <w:ind w:left="-15" w:right="3754" w:firstLine="737"/>
      </w:pPr>
      <w:r>
        <w:t>4.2. Principaux symptômes et effets, aigus et différés Tenir compte des phrases de risques et de sécurité.</w:t>
      </w:r>
    </w:p>
    <w:p>
      <w:pPr>
        <w:spacing w:after="153"/>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ind w:right="67"/>
      </w:pPr>
      <w:r>
        <w:t>5.1. Moyens d’extinction</w:t>
      </w:r>
    </w:p>
    <w:p>
      <w:pPr>
        <w:ind w:left="-5" w:right="67"/>
      </w:pPr>
      <w:r>
        <w:t>Moyens d'extinction appropriés: dioxyde de carbone (CO2), mousse, eau pulvérisée, poudre d'extinction sèche.</w:t>
      </w:r>
    </w:p>
    <w:p>
      <w:pPr>
        <w:spacing w:after="895"/>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0"/>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3"/>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9"/>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ind w:left="-5" w:right="67"/>
      </w:pPr>
      <w:r>
        <w:t>Mesures techniques et conditions de stockage:</w:t>
      </w:r>
    </w:p>
    <w:p>
      <w:pPr>
        <w:ind w:left="-5" w:right="67"/>
      </w:pPr>
      <w:r>
        <w:t>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1136"/>
        <w:ind w:left="-5" w:right="3656"/>
      </w:pPr>
      <w:r>
        <w:t>Information supplémentaire sur les conditions de stockage: Protéger les récipients contre les dommages.</w:t>
      </w:r>
    </w:p>
    <w:p>
      <w:pPr>
        <w:spacing w:after="156"/>
        <w:ind w:right="67"/>
      </w:pPr>
      <w:r>
        <w:t>7.3. Utilisation(s) finale(s) particulière(s)</w:t>
      </w:r>
    </w:p>
    <w:p>
      <w:pPr>
        <w:spacing w:after="763"/>
        <w:ind w:left="-5" w:right="67"/>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9168" w:type="dxa"/>
        <w:tblInd w:w="0" w:type="dxa"/>
        <w:tblLayout w:type="autofit"/>
        <w:tblCellMar>
          <w:top w:w="0" w:type="dxa"/>
          <w:left w:w="0" w:type="dxa"/>
          <w:bottom w:w="0" w:type="dxa"/>
          <w:right w:w="0" w:type="dxa"/>
        </w:tblCellMar>
      </w:tblPr>
      <w:tblGrid>
        <w:gridCol w:w="3096"/>
        <w:gridCol w:w="6072"/>
      </w:tblGrid>
      <w:tr>
        <w:tblPrEx>
          <w:tblCellMar>
            <w:top w:w="0" w:type="dxa"/>
            <w:left w:w="0" w:type="dxa"/>
            <w:bottom w:w="0" w:type="dxa"/>
            <w:right w:w="0" w:type="dxa"/>
          </w:tblCellMar>
        </w:tblPrEx>
        <w:trPr>
          <w:trHeight w:val="61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1273" w:hRule="atLeast"/>
        </w:trPr>
        <w:tc>
          <w:tcPr>
            <w:tcW w:w="3096" w:type="dxa"/>
            <w:tcBorders>
              <w:top w:val="nil"/>
              <w:left w:val="nil"/>
              <w:bottom w:val="nil"/>
              <w:right w:val="nil"/>
            </w:tcBorders>
          </w:tcPr>
          <w:p>
            <w:pPr>
              <w:spacing w:after="292" w:line="259" w:lineRule="auto"/>
              <w:ind w:left="0" w:firstLine="0"/>
              <w:jc w:val="left"/>
            </w:pPr>
            <w:r>
              <w:rPr>
                <w:rFonts w:ascii="Tahoma" w:hAnsi="Tahoma" w:eastAsia="Tahoma" w:cs="Tahoma"/>
                <w:sz w:val="18"/>
              </w:rPr>
              <w:t>Caractéristiques des particules :</w:t>
            </w:r>
          </w:p>
          <w:p>
            <w:pPr>
              <w:spacing w:after="163" w:line="259" w:lineRule="auto"/>
              <w:ind w:left="737" w:firstLine="0"/>
              <w:jc w:val="left"/>
            </w:pPr>
            <w:r>
              <w:t>9.2. Autres informations</w:t>
            </w:r>
          </w:p>
          <w:p>
            <w:pPr>
              <w:spacing w:after="0" w:line="259" w:lineRule="auto"/>
              <w:ind w:left="0" w:firstLine="0"/>
              <w:jc w:val="left"/>
            </w:pPr>
            <w:r>
              <w:rPr>
                <w:rFonts w:ascii="Tahoma" w:hAnsi="Tahoma" w:eastAsia="Tahoma" w:cs="Tahoma"/>
                <w:sz w:val="18"/>
              </w:rPr>
              <w:t>Indice de réfraction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r>
        <w:tblPrEx>
          <w:tblCellMar>
            <w:top w:w="0" w:type="dxa"/>
            <w:left w:w="0" w:type="dxa"/>
            <w:bottom w:w="0" w:type="dxa"/>
            <w:right w:w="0" w:type="dxa"/>
          </w:tblCellMar>
        </w:tblPrEx>
        <w:trPr>
          <w:trHeight w:val="49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Conditions de stockage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24 mois à faible température entre 15°C et 20°C dans un récipient fermé hermétiquement et à l'abri de la lumière.</w:t>
            </w:r>
          </w:p>
        </w:tc>
      </w:tr>
    </w:tbl>
    <w:p>
      <w:pPr>
        <w:pStyle w:val="3"/>
        <w:ind w:left="-5"/>
      </w:pPr>
      <w:r>
        <w:t>10: STABILITE ET REACTIVITE</w:t>
      </w:r>
    </w:p>
    <w:p>
      <w:pPr>
        <w:spacing w:after="153"/>
        <w:ind w:right="67"/>
      </w:pPr>
      <w:r>
        <w:t>10.1. Réactivité</w:t>
      </w:r>
    </w:p>
    <w:p>
      <w:pPr>
        <w:ind w:left="-5" w:right="67"/>
      </w:pPr>
      <w:r>
        <w:t>Aucune donnée d'essai spécifique disponible relative à la réactivité de ce produit ou de ses ingrédients.</w:t>
      </w:r>
    </w:p>
    <w:p>
      <w:pPr>
        <w:spacing w:after="153"/>
        <w:ind w:right="67"/>
      </w:pPr>
      <w:r>
        <w:t>10.2. Stabilité chimique</w:t>
      </w:r>
    </w:p>
    <w:p>
      <w:pPr>
        <w:spacing w:after="701"/>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3"/>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546" w:hanging="233"/>
      </w:pPr>
      <w:r>
        <w:t>corrosion cutanée/irritation cutanéevoir section 2</w:t>
      </w:r>
    </w:p>
    <w:p>
      <w:pPr>
        <w:numPr>
          <w:ilvl w:val="0"/>
          <w:numId w:val="2"/>
        </w:numPr>
        <w:spacing w:after="193"/>
        <w:ind w:right="5546" w:hanging="233"/>
      </w:pPr>
      <w:r>
        <w:t>lésions oculaires graves/irritation oculairevoir section 2</w:t>
      </w:r>
    </w:p>
    <w:p>
      <w:pPr>
        <w:numPr>
          <w:ilvl w:val="0"/>
          <w:numId w:val="2"/>
        </w:numPr>
        <w:ind w:right="5546" w:hanging="233"/>
      </w:pPr>
      <w:r>
        <w:t>sensibilisation respiratoire ou cutanée</w:t>
      </w:r>
    </w:p>
    <w:p>
      <w:pPr>
        <w:spacing w:after="189"/>
        <w:ind w:left="-5" w:right="67"/>
      </w:pPr>
      <w:r>
        <w:t>voir section 2</w:t>
      </w:r>
    </w:p>
    <w:p>
      <w:pPr>
        <w:numPr>
          <w:ilvl w:val="0"/>
          <w:numId w:val="2"/>
        </w:numPr>
        <w:spacing w:after="193"/>
        <w:ind w:right="5546" w:hanging="233"/>
      </w:pPr>
      <w:r>
        <w:t>mutagénicité sur les cellules germinalesvoir section 2</w:t>
      </w:r>
    </w:p>
    <w:p>
      <w:pPr>
        <w:numPr>
          <w:ilvl w:val="0"/>
          <w:numId w:val="2"/>
        </w:numPr>
        <w:spacing w:after="193"/>
        <w:ind w:right="5546" w:hanging="233"/>
      </w:pPr>
      <w:r>
        <w:t>cancérogénicitévoir section 2</w:t>
      </w:r>
    </w:p>
    <w:p>
      <w:pPr>
        <w:numPr>
          <w:ilvl w:val="0"/>
          <w:numId w:val="2"/>
        </w:numPr>
        <w:spacing w:after="193"/>
        <w:ind w:right="5546" w:hanging="233"/>
      </w:pPr>
      <w:r>
        <w:t>toxicité pour la reproductionvoir section 2</w:t>
      </w:r>
    </w:p>
    <w:p>
      <w:pPr>
        <w:numPr>
          <w:ilvl w:val="0"/>
          <w:numId w:val="2"/>
        </w:numPr>
        <w:spacing w:after="193"/>
        <w:ind w:right="5546" w:hanging="233"/>
      </w:pPr>
      <w:r>
        <w:t>toxicité spécifique pour certains organes cibles (STOT) - exposition uniquevoir section 2</w:t>
      </w:r>
    </w:p>
    <w:p>
      <w:pPr>
        <w:numPr>
          <w:ilvl w:val="0"/>
          <w:numId w:val="2"/>
        </w:numPr>
        <w:spacing w:after="193"/>
        <w:ind w:right="5546" w:hanging="233"/>
      </w:pPr>
      <w:r>
        <w:t>toxicité spécifique pour certains organes cibles (STOT) - exposition répétéevoir section 2</w:t>
      </w:r>
    </w:p>
    <w:p>
      <w:pPr>
        <w:numPr>
          <w:ilvl w:val="0"/>
          <w:numId w:val="2"/>
        </w:numPr>
        <w:spacing w:after="915"/>
        <w:ind w:right="5546" w:hanging="233"/>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2"/>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spacing w:after="542" w:line="427" w:lineRule="auto"/>
        <w:ind w:left="-15" w:right="5502" w:firstLine="737"/>
      </w:pPr>
      <w:r>
        <w:t>12.3. Potentiel de bioaccumulation Pas de données à ce jour.</w:t>
      </w:r>
    </w:p>
    <w:p>
      <w:pPr>
        <w:ind w:right="67"/>
      </w:pPr>
      <w:r>
        <w:t>12.4. Mobilité dans le sol</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40"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5533" w:hRule="atLeast"/>
        </w:trPr>
        <w:tc>
          <w:tcPr>
            <w:tcW w:w="6615" w:type="dxa"/>
            <w:tcBorders>
              <w:top w:val="single" w:color="7F7F7F" w:sz="2" w:space="0"/>
              <w:left w:val="nil"/>
              <w:bottom w:val="single" w:color="7F7F7F" w:sz="2" w:space="0"/>
              <w:right w:val="nil"/>
            </w:tcBorders>
          </w:tcPr>
          <w:p>
            <w:pPr>
              <w:tabs>
                <w:tab w:val="center" w:pos="1834"/>
                <w:tab w:val="center" w:pos="4202"/>
              </w:tabs>
              <w:spacing w:after="242" w:line="259" w:lineRule="auto"/>
              <w:ind w:left="0" w:firstLine="0"/>
              <w:jc w:val="left"/>
            </w:pPr>
            <w:r>
              <w:rPr>
                <w:sz w:val="16"/>
              </w:rPr>
              <w:t>Édité le :</w:t>
            </w:r>
            <w:r>
              <w:rPr>
                <w:sz w:val="16"/>
              </w:rPr>
              <w:tab/>
            </w:r>
            <w:r>
              <w:rPr>
                <w:sz w:val="16"/>
              </w:rPr>
              <w:t>15/02/2022</w:t>
            </w:r>
            <w:r>
              <w:rPr>
                <w:sz w:val="16"/>
              </w:rPr>
              <w:tab/>
            </w:r>
            <w:r>
              <w:rPr>
                <w:sz w:val="16"/>
              </w:rPr>
              <w:t>Fruits rouges 10%</w:t>
            </w:r>
          </w:p>
          <w:p>
            <w:pPr>
              <w:spacing w:after="703" w:line="259" w:lineRule="auto"/>
              <w:ind w:left="56" w:firstLine="0"/>
              <w:jc w:val="left"/>
            </w:pPr>
            <w:r>
              <w:t>Pas de données à ce jour.</w:t>
            </w:r>
          </w:p>
          <w:p>
            <w:pPr>
              <w:spacing w:after="545" w:line="425"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15/02/2022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0"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81"/>
        <w:ind w:left="-5" w:right="67"/>
      </w:pPr>
      <w:r>
        <w:t>NON REGLEMENTE</w:t>
      </w:r>
    </w:p>
    <w:p>
      <w:pPr>
        <w:spacing w:after="136"/>
        <w:ind w:right="67"/>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5" w:line="251"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5" w:line="251"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2"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221" w:line="231" w:lineRule="auto"/>
        <w:ind w:left="0" w:firstLine="0"/>
        <w:jc w:val="left"/>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78"/>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91"/>
        <w:ind w:left="-15" w:firstLine="0"/>
        <w:jc w:val="left"/>
      </w:pPr>
      <w:r>
        <w:rPr>
          <w:sz w:val="18"/>
        </w:rPr>
        <w:t>H400</w:t>
      </w:r>
      <w:r>
        <w:rPr>
          <w:sz w:val="18"/>
        </w:rPr>
        <w:tab/>
      </w:r>
      <w:r>
        <w:rPr>
          <w:sz w:val="18"/>
        </w:rPr>
        <w:t>Très toxique pour les organismes aquatiques.</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233"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15/02/2022</w:t>
    </w:r>
    <w:r>
      <w:rPr>
        <w:sz w:val="16"/>
      </w:rPr>
      <w:tab/>
    </w:r>
    <w:r>
      <w:rPr>
        <w:sz w:val="16"/>
      </w:rPr>
      <w:t>Fruits rouges 10%</w:t>
    </w:r>
    <w:r>
      <w:rPr>
        <w:sz w:val="16"/>
      </w:rPr>
      <w:tab/>
    </w:r>
    <w:r>
      <w:rPr>
        <w:sz w:val="16"/>
      </w:rPr>
      <w:t>Révision : 001NEW-1-CLP du 15/02/2022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15/02/2022</w:t>
    </w:r>
    <w:r>
      <w:rPr>
        <w:sz w:val="16"/>
      </w:rPr>
      <w:tab/>
    </w:r>
    <w:r>
      <w:rPr>
        <w:sz w:val="16"/>
      </w:rPr>
      <w:t>Fruits rouges 10%</w:t>
    </w:r>
    <w:r>
      <w:rPr>
        <w:sz w:val="16"/>
      </w:rPr>
      <w:tab/>
    </w:r>
    <w:r>
      <w:rPr>
        <w:sz w:val="16"/>
      </w:rPr>
      <w:t>Révision : 001NEW-1-CLP du 15/02/2022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Fruits rouges 10%</w:t>
    </w:r>
    <w:r>
      <w:rPr>
        <w:sz w:val="16"/>
      </w:rPr>
      <w:tab/>
    </w:r>
    <w:r>
      <w:rPr>
        <w:sz w:val="16"/>
      </w:rPr>
      <w:t>Révision : 001NEW-1-CLP du 15/02/2022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Fruits rouges 10%</w:t>
    </w:r>
    <w:r>
      <w:rPr>
        <w:sz w:val="16"/>
      </w:rPr>
      <w:tab/>
    </w:r>
    <w:r>
      <w:rPr>
        <w:sz w:val="16"/>
      </w:rPr>
      <w:t>Révision : 001NEW-1-CLP du 15/02/2022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22D5"/>
    <w:multiLevelType w:val="multilevel"/>
    <w:tmpl w:val="29FE22D5"/>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3C1C499A"/>
    <w:multiLevelType w:val="multilevel"/>
    <w:tmpl w:val="3C1C499A"/>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75A0D09"/>
    <w:multiLevelType w:val="multilevel"/>
    <w:tmpl w:val="775A0D09"/>
    <w:lvl w:ilvl="0" w:tentative="0">
      <w:start w:val="2"/>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B"/>
    <w:rsid w:val="001C06FB"/>
    <w:rsid w:val="00EE426E"/>
    <w:rsid w:val="4C69663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3026</Words>
  <Characters>16648</Characters>
  <Lines>138</Lines>
  <Paragraphs>39</Paragraphs>
  <TotalTime>0</TotalTime>
  <ScaleCrop>false</ScaleCrop>
  <LinksUpToDate>false</LinksUpToDate>
  <CharactersWithSpaces>19635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2022-02-15T13:37:00Z</dcterms:created>
  <dc:creator>stagiaire</dc:creator>
  <cp:lastModifiedBy>Laetitia Castro</cp:lastModifiedBy>
  <dcterms:modified xsi:type="dcterms:W3CDTF">2024-02-08T10:16:52Z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1E5796D947A44A87A1CC4B97BEF1A35C_12</vt:lpwstr>
  </property>
</Properties>
</file>