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Fiche de données de securité</w:t>
      </w:r>
    </w:p>
    <w:p>
      <w:pPr>
        <w:tabs>
          <w:tab w:val="center" w:pos="1779"/>
          <w:tab w:val="right" w:pos="9620"/>
        </w:tabs>
        <w:spacing w:after="365"/>
        <w:ind w:left="-15" w:firstLine="0"/>
        <w:jc w:val="left"/>
      </w:pPr>
      <w:r>
        <w:rPr>
          <w:sz w:val="16"/>
        </w:rPr>
        <w:t>Édité le :</w:t>
      </w:r>
      <w:r>
        <w:rPr>
          <w:sz w:val="16"/>
        </w:rPr>
        <w:tab/>
      </w:r>
      <w:r>
        <w:rPr>
          <w:sz w:val="16"/>
        </w:rPr>
        <w:t>14/02/2022</w:t>
      </w:r>
      <w:r>
        <w:rPr>
          <w:sz w:val="16"/>
        </w:rPr>
        <w:tab/>
      </w:r>
      <w:r>
        <w:rPr>
          <w:sz w:val="16"/>
        </w:rPr>
        <w:t>Révision : 001NEW-1-CLP du 14/02/2022</w:t>
      </w:r>
    </w:p>
    <w:p>
      <w:pPr>
        <w:pStyle w:val="3"/>
        <w:pBdr>
          <w:top w:val="single" w:color="000000" w:sz="6" w:space="0"/>
          <w:left w:val="single" w:color="000000" w:sz="6" w:space="0"/>
          <w:bottom w:val="single" w:color="000000" w:sz="6" w:space="0"/>
          <w:right w:val="single" w:color="000000" w:sz="6" w:space="0"/>
        </w:pBdr>
        <w:shd w:val="clear" w:color="auto" w:fill="auto"/>
        <w:spacing w:after="136"/>
        <w:ind w:left="0" w:right="84" w:firstLine="0"/>
        <w:jc w:val="center"/>
      </w:pPr>
      <w:r>
        <w:rPr>
          <w:b/>
          <w:sz w:val="32"/>
        </w:rPr>
        <w:t>Citron et citron vert 10%</w:t>
      </w:r>
    </w:p>
    <w:p>
      <w:pPr>
        <w:pStyle w:val="4"/>
        <w:ind w:left="-5"/>
      </w:pPr>
      <w:r>
        <w:t>1: IDENTIFICATION DE LA SUBSTANCE/DU MELANGE ET DE LA SOCIETE/L'ENTREPRISE</w:t>
      </w:r>
    </w:p>
    <w:p>
      <w:pPr>
        <w:spacing w:after="134"/>
        <w:ind w:right="67"/>
      </w:pPr>
      <w:r>
        <w:t>1.1. Identificateur de produit</w:t>
      </w:r>
    </w:p>
    <w:p>
      <w:pPr>
        <w:spacing w:after="115" w:line="251" w:lineRule="auto"/>
        <w:ind w:left="-5" w:right="7405"/>
        <w:jc w:val="left"/>
      </w:pPr>
      <w:r>
        <w:rPr>
          <w:rFonts w:ascii="Microsoft Sans Serif" w:hAnsi="Microsoft Sans Serif" w:eastAsia="Microsoft Sans Serif" w:cs="Microsoft Sans Serif"/>
          <w:sz w:val="17"/>
        </w:rPr>
        <w:t>Citron et citron vert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67" w:firstLine="0" w:firstLineChars="0"/>
        <w:rPr>
          <w:sz w:val="18"/>
        </w:rPr>
      </w:pPr>
      <w:bookmarkStart w:id="0" w:name="_GoBack"/>
      <w:bookmarkEnd w:id="0"/>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4"/>
        <w:ind w:left="-5"/>
      </w:pPr>
      <w:r>
        <w:t>2: IDENTIFICATION DES DANGERS</w:t>
      </w:r>
    </w:p>
    <w:p>
      <w:pPr>
        <w:ind w:right="67"/>
      </w:pPr>
      <w:r>
        <w:t>2.1. Classification de la substance ou du mélange</w:t>
      </w:r>
    </w:p>
    <w:p>
      <w:pPr>
        <w:spacing w:after="86" w:line="259" w:lineRule="auto"/>
        <w:ind w:left="-5" w:right="6748"/>
        <w:jc w:val="left"/>
      </w:pPr>
      <w:r>
        <w:rPr>
          <w:sz w:val="18"/>
          <w:u w:val="single" w:color="000000"/>
        </w:rPr>
        <w:t>Classification GHS :</w:t>
      </w:r>
    </w:p>
    <w:p>
      <w:pPr>
        <w:spacing w:after="575" w:line="251" w:lineRule="auto"/>
        <w:ind w:left="-5" w:right="7405"/>
        <w:jc w:val="left"/>
      </w:pPr>
      <w:r>
        <w:rPr>
          <w:rFonts w:ascii="Microsoft Sans Serif" w:hAnsi="Microsoft Sans Serif" w:eastAsia="Microsoft Sans Serif" w:cs="Microsoft Sans Serif"/>
          <w:sz w:val="17"/>
        </w:rPr>
        <w:t>(LégislationCLP)</w:t>
      </w:r>
    </w:p>
    <w:p>
      <w:pPr>
        <w:spacing w:after="0" w:line="251" w:lineRule="auto"/>
        <w:ind w:left="-5"/>
        <w:jc w:val="left"/>
      </w:pPr>
      <w:r>
        <w:rPr>
          <w:rFonts w:ascii="Microsoft Sans Serif" w:hAnsi="Microsoft Sans Serif" w:eastAsia="Microsoft Sans Serif" w:cs="Microsoft Sans Serif"/>
          <w:sz w:val="17"/>
        </w:rPr>
        <w:t>EUH208 - Contient 3,7-dimethylocta-2,6-dienal (citral), (4R)-1-methyl-4-prop-1-en-2-ylcyclohexene (dextro-limonene).  Peut produire une réaction allergique</w:t>
      </w:r>
    </w:p>
    <w:p>
      <w:pPr>
        <w:spacing w:after="325" w:line="251" w:lineRule="auto"/>
        <w:ind w:left="-5"/>
        <w:jc w:val="left"/>
      </w:pPr>
      <w:r>
        <w:rPr>
          <w:rFonts w:ascii="Microsoft Sans Serif" w:hAnsi="Microsoft Sans Serif" w:eastAsia="Microsoft Sans Serif" w:cs="Microsoft Sans Serif"/>
          <w:sz w:val="17"/>
        </w:rPr>
        <w:t>EUH210 - Fiche de données de sécurité disponible sur demande.</w:t>
      </w:r>
    </w:p>
    <w:p>
      <w:pPr>
        <w:spacing w:after="136"/>
        <w:ind w:right="67"/>
      </w:pPr>
      <w:r>
        <w:t>2.2. Éléments d'étiquetage</w:t>
      </w:r>
    </w:p>
    <w:p>
      <w:pPr>
        <w:spacing w:after="842" w:line="388" w:lineRule="auto"/>
        <w:ind w:left="-5" w:right="6748"/>
        <w:jc w:val="left"/>
      </w:pPr>
      <w:r>
        <w:rPr>
          <w:sz w:val="18"/>
          <w:u w:val="single" w:color="000000"/>
        </w:rPr>
        <w:t xml:space="preserve">Classification GHS : </w:t>
      </w:r>
      <w:r>
        <w:rPr>
          <w:rFonts w:ascii="Microsoft Sans Serif" w:hAnsi="Microsoft Sans Serif" w:eastAsia="Microsoft Sans Serif" w:cs="Microsoft Sans Serif"/>
          <w:sz w:val="17"/>
        </w:rPr>
        <w:t>(LégislationCLP)</w:t>
      </w:r>
    </w:p>
    <w:p>
      <w:pPr>
        <w:ind w:left="-5"/>
        <w:jc w:val="left"/>
      </w:pPr>
      <w:r>
        <w:rPr>
          <w:rFonts w:ascii="Tahoma" w:hAnsi="Tahoma" w:eastAsia="Tahoma" w:cs="Tahoma"/>
          <w:sz w:val="18"/>
        </w:rPr>
        <w:t xml:space="preserve">EUH208 - Contient 3,7-dimethylocta-2,6-dienal (citral), (4R)-1-methyl-4-prop-1-en-2-ylcyclohexene (dextro-limonene).  </w:t>
      </w:r>
    </w:p>
    <w:p>
      <w:pPr>
        <w:ind w:left="-5"/>
        <w:jc w:val="left"/>
      </w:pPr>
      <w:r>
        <w:rPr>
          <w:rFonts w:ascii="Tahoma" w:hAnsi="Tahoma" w:eastAsia="Tahoma" w:cs="Tahoma"/>
          <w:sz w:val="18"/>
        </w:rPr>
        <w:t>Peut produire une réaction allergique</w:t>
      </w:r>
    </w:p>
    <w:p>
      <w:pPr>
        <w:spacing w:after="481"/>
        <w:ind w:left="-5"/>
        <w:jc w:val="left"/>
      </w:pPr>
      <w:r>
        <w:rPr>
          <w:rFonts w:ascii="Tahoma" w:hAnsi="Tahoma" w:eastAsia="Tahoma" w:cs="Tahoma"/>
          <w:sz w:val="18"/>
        </w:rPr>
        <w:t>EUH210 - Fiche de données de sécurité disponible sur demande.</w:t>
      </w:r>
    </w:p>
    <w:p>
      <w:pPr>
        <w:spacing w:after="156"/>
        <w:ind w:right="67"/>
      </w:pPr>
      <w:r>
        <w:t>2.3. Autres dangers</w:t>
      </w:r>
    </w:p>
    <w:p>
      <w:pPr>
        <w:spacing w:after="784"/>
        <w:ind w:left="-5" w:right="67"/>
      </w:pPr>
      <w:r>
        <w:t xml:space="preserve">Non applicable </w:t>
      </w:r>
    </w:p>
    <w:p>
      <w:pPr>
        <w:pStyle w:val="4"/>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10"/>
        <w:tblW w:w="9596" w:type="dxa"/>
        <w:tblInd w:w="-55" w:type="dxa"/>
        <w:tblLayout w:type="autofit"/>
        <w:tblCellMar>
          <w:top w:w="57" w:type="dxa"/>
          <w:left w:w="54" w:type="dxa"/>
          <w:bottom w:w="0" w:type="dxa"/>
          <w:right w:w="75" w:type="dxa"/>
        </w:tblCellMar>
      </w:tblPr>
      <w:tblGrid>
        <w:gridCol w:w="3510"/>
        <w:gridCol w:w="991"/>
        <w:gridCol w:w="779"/>
        <w:gridCol w:w="2998"/>
        <w:gridCol w:w="1318"/>
      </w:tblGrid>
      <w:tr>
        <w:tblPrEx>
          <w:tblCellMar>
            <w:top w:w="57" w:type="dxa"/>
            <w:left w:w="54" w:type="dxa"/>
            <w:bottom w:w="0" w:type="dxa"/>
            <w:right w:w="75"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7" w:type="dxa"/>
            <w:left w:w="54" w:type="dxa"/>
            <w:bottom w:w="0" w:type="dxa"/>
            <w:right w:w="75" w:type="dxa"/>
          </w:tblCellMar>
        </w:tblPrEx>
        <w:trPr>
          <w:trHeight w:val="846" w:hRule="atLeast"/>
        </w:trPr>
        <w:tc>
          <w:tcPr>
            <w:tcW w:w="3511"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5989-27-5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firstLine="0"/>
              <w:jc w:val="left"/>
            </w:pPr>
            <w:r>
              <w:rPr>
                <w:sz w:val="16"/>
              </w:rPr>
              <w:t>Irrit. 2, Skin Sens. 1 - H226, H304,</w:t>
            </w:r>
          </w:p>
          <w:p>
            <w:pPr>
              <w:spacing w:after="0" w:line="259" w:lineRule="auto"/>
              <w:ind w:left="0" w:firstLine="0"/>
              <w:jc w:val="left"/>
            </w:pPr>
            <w:r>
              <w:rPr>
                <w:sz w:val="16"/>
              </w:rPr>
              <w:t>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7" w:type="dxa"/>
            <w:left w:w="54" w:type="dxa"/>
            <w:bottom w:w="0" w:type="dxa"/>
            <w:right w:w="75" w:type="dxa"/>
          </w:tblCellMar>
        </w:tblPrEx>
        <w:trPr>
          <w:trHeight w:val="477"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3,7-dimethylocta-2,6-dienal (citral)   (No</w:t>
            </w:r>
          </w:p>
          <w:p>
            <w:pPr>
              <w:spacing w:after="0" w:line="259" w:lineRule="auto"/>
              <w:ind w:left="1" w:firstLine="0"/>
              <w:jc w:val="left"/>
            </w:pPr>
            <w:r>
              <w:rPr>
                <w:sz w:val="16"/>
              </w:rPr>
              <w:t>REACH : 01-2119462829-23-XXXX)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0" w:firstLine="0"/>
              <w:jc w:val="center"/>
            </w:pPr>
            <w:r>
              <w:rPr>
                <w:sz w:val="14"/>
              </w:rPr>
              <w:t>5392-40-5</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226-394-6</w:t>
            </w:r>
          </w:p>
        </w:tc>
        <w:tc>
          <w:tcPr>
            <w:tcW w:w="2998" w:type="dxa"/>
            <w:tcBorders>
              <w:top w:val="double" w:color="C0C0C0" w:sz="2" w:space="0"/>
              <w:left w:val="single" w:color="C0C0C0" w:sz="4" w:space="0"/>
              <w:bottom w:val="single" w:color="C0C0C0" w:sz="2" w:space="0"/>
              <w:right w:val="single" w:color="C0C0C0" w:sz="4" w:space="0"/>
            </w:tcBorders>
          </w:tcPr>
          <w:p>
            <w:pPr>
              <w:spacing w:after="0" w:line="259" w:lineRule="auto"/>
              <w:ind w:left="0" w:firstLine="0"/>
              <w:jc w:val="left"/>
            </w:pPr>
            <w:r>
              <w:rPr>
                <w:sz w:val="16"/>
              </w:rPr>
              <w:t>Eye Irrit. 2, Skin Irrit. 2, Skin Sens. 1 -</w:t>
            </w:r>
          </w:p>
          <w:p>
            <w:pPr>
              <w:spacing w:after="0" w:line="259" w:lineRule="auto"/>
              <w:ind w:left="0" w:firstLine="0"/>
              <w:jc w:val="left"/>
            </w:pPr>
            <w:r>
              <w:rPr>
                <w:sz w:val="16"/>
              </w:rPr>
              <w:t>H315, H317, H319</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bl>
    <w:p>
      <w:pPr>
        <w:spacing w:after="960"/>
        <w:ind w:left="-5" w:right="67"/>
      </w:pPr>
      <w:r>
        <w:t>COMPOSITION : Mélange de matiéres premières aromatiques.</w:t>
      </w:r>
    </w:p>
    <w:p>
      <w:pPr>
        <w:pBdr>
          <w:top w:val="single" w:color="7F7F7F" w:sz="2" w:space="0"/>
          <w:left w:val="single" w:color="7F7F7F" w:sz="2" w:space="0"/>
          <w:bottom w:val="single" w:color="7F7F7F" w:sz="2" w:space="0"/>
          <w:right w:val="single" w:color="7F7F7F" w:sz="2" w:space="0"/>
        </w:pBdr>
        <w:shd w:val="clear" w:color="auto" w:fill="E0E0E0"/>
        <w:spacing w:after="332" w:line="259" w:lineRule="auto"/>
        <w:ind w:left="-5"/>
        <w:jc w:val="left"/>
      </w:pPr>
      <w:r>
        <w:rPr>
          <w:sz w:val="22"/>
        </w:rPr>
        <w:t>4: PREMIERS SECOURS</w:t>
      </w:r>
    </w:p>
    <w:p>
      <w:pPr>
        <w:pStyle w:val="2"/>
      </w:pPr>
      <w:r>
        <w:t>Fiche de données de securité</w:t>
      </w:r>
    </w:p>
    <w:p>
      <w:pPr>
        <w:tabs>
          <w:tab w:val="center" w:pos="1779"/>
          <w:tab w:val="center" w:pos="4145"/>
          <w:tab w:val="right" w:pos="9620"/>
        </w:tabs>
        <w:spacing w:after="407"/>
        <w:ind w:left="-15" w:firstLine="0"/>
        <w:jc w:val="left"/>
      </w:pPr>
      <w:r>
        <w:rPr>
          <w:sz w:val="16"/>
        </w:rPr>
        <w:t>Édité le :</w:t>
      </w:r>
      <w:r>
        <w:rPr>
          <w:sz w:val="16"/>
        </w:rPr>
        <w:tab/>
      </w:r>
      <w:r>
        <w:rPr>
          <w:sz w:val="16"/>
        </w:rPr>
        <w:t>14/02/2022</w:t>
      </w:r>
      <w:r>
        <w:rPr>
          <w:sz w:val="16"/>
        </w:rPr>
        <w:tab/>
      </w:r>
      <w:r>
        <w:rPr>
          <w:sz w:val="16"/>
        </w:rPr>
        <w:t>Citron et citron vert 10%</w:t>
      </w:r>
      <w:r>
        <w:rPr>
          <w:sz w:val="16"/>
        </w:rPr>
        <w:tab/>
      </w:r>
      <w:r>
        <w:rPr>
          <w:sz w:val="16"/>
        </w:rPr>
        <w:t>Révision : 001NEW-1-CLP du 14/02/2022</w:t>
      </w:r>
    </w:p>
    <w:p>
      <w:pPr>
        <w:spacing w:after="156"/>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6"/>
        <w:ind w:left="-5" w:right="67"/>
      </w:pPr>
      <w:r>
        <w:t>Secouriste: faire attention à se protéger!</w:t>
      </w:r>
    </w:p>
    <w:p>
      <w:pPr>
        <w:spacing w:after="763" w:line="427" w:lineRule="auto"/>
        <w:ind w:left="-15" w:right="3754" w:firstLine="737"/>
      </w:pPr>
      <w:r>
        <w:t>4.2. Principaux symptômes et effets, aigus et différés Tenir compte des phrases de risques et de sécurité.</w:t>
      </w:r>
    </w:p>
    <w:p>
      <w:pPr>
        <w:spacing w:after="156"/>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spacing w:after="156"/>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0"/>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3"/>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22"/>
        <w:ind w:left="-5" w:right="67"/>
      </w:pPr>
      <w:r>
        <w:t>Mettre les personnes en sécurité. Isoler la zone de danger et empêcher l'accès. Aérer les espaces fermés avant d'entrer. Utiliser un équipement de protection individuel, voir section 8.</w:t>
      </w:r>
    </w:p>
    <w:p>
      <w:pPr>
        <w:spacing w:after="156"/>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spacing w:after="156"/>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ind w:left="-5" w:right="67"/>
      </w:pPr>
      <w:r>
        <w:t xml:space="preserve">Nettoyer les objets et zones contaminés en observant soigneusement les réglementations </w:t>
      </w:r>
    </w:p>
    <w:tbl>
      <w:tblPr>
        <w:tblStyle w:val="10"/>
        <w:tblW w:w="9640" w:type="dxa"/>
        <w:tblInd w:w="-56" w:type="dxa"/>
        <w:tblLayout w:type="autofit"/>
        <w:tblCellMar>
          <w:top w:w="48" w:type="dxa"/>
          <w:left w:w="0" w:type="dxa"/>
          <w:bottom w:w="0" w:type="dxa"/>
          <w:right w:w="0" w:type="dxa"/>
        </w:tblCellMar>
      </w:tblPr>
      <w:tblGrid>
        <w:gridCol w:w="3339"/>
        <w:gridCol w:w="3276"/>
        <w:gridCol w:w="3025"/>
      </w:tblGrid>
      <w:tr>
        <w:tblPrEx>
          <w:tblCellMar>
            <w:top w:w="48" w:type="dxa"/>
            <w:left w:w="0" w:type="dxa"/>
            <w:bottom w:w="0"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securité</w:t>
            </w:r>
          </w:p>
        </w:tc>
      </w:tr>
      <w:tr>
        <w:tblPrEx>
          <w:tblCellMar>
            <w:top w:w="48" w:type="dxa"/>
            <w:left w:w="0" w:type="dxa"/>
            <w:bottom w:w="0" w:type="dxa"/>
            <w:right w:w="0" w:type="dxa"/>
          </w:tblCellMar>
        </w:tblPrEx>
        <w:trPr>
          <w:trHeight w:val="3676" w:hRule="atLeast"/>
        </w:trPr>
        <w:tc>
          <w:tcPr>
            <w:tcW w:w="3339" w:type="dxa"/>
            <w:tcBorders>
              <w:top w:val="single" w:color="7F7F7F" w:sz="2" w:space="0"/>
              <w:left w:val="nil"/>
              <w:bottom w:val="single" w:color="7F7F7F" w:sz="2" w:space="0"/>
              <w:right w:val="nil"/>
            </w:tcBorders>
          </w:tcPr>
          <w:p>
            <w:pPr>
              <w:spacing w:after="37" w:line="424" w:lineRule="auto"/>
              <w:ind w:left="56" w:firstLine="0"/>
              <w:jc w:val="left"/>
            </w:pPr>
            <w:r>
              <w:rPr>
                <w:sz w:val="16"/>
              </w:rPr>
              <w:t>Édité le :</w:t>
            </w:r>
            <w:r>
              <w:rPr>
                <w:sz w:val="16"/>
              </w:rPr>
              <w:tab/>
            </w:r>
            <w:r>
              <w:rPr>
                <w:sz w:val="16"/>
              </w:rPr>
              <w:t xml:space="preserve">14/02/2022 </w:t>
            </w:r>
            <w:r>
              <w:t>environnementales.</w:t>
            </w:r>
          </w:p>
          <w:p>
            <w:pPr>
              <w:spacing w:after="943" w:line="231" w:lineRule="auto"/>
              <w:ind w:left="56" w:right="427" w:firstLine="0"/>
              <w:jc w:val="left"/>
            </w:pPr>
            <w:r>
              <w:t>6.3.3. Autre information: Aucune.</w:t>
            </w:r>
          </w:p>
          <w:p>
            <w:pPr>
              <w:spacing w:after="161" w:line="259" w:lineRule="auto"/>
              <w:ind w:left="0" w:right="77" w:firstLine="0"/>
              <w:jc w:val="right"/>
            </w:pPr>
            <w:r>
              <w:t>6.4. Référence à d’autres ru</w:t>
            </w:r>
          </w:p>
          <w:p>
            <w:pPr>
              <w:spacing w:after="0" w:line="259" w:lineRule="auto"/>
              <w:ind w:left="56" w:right="-1661" w:firstLine="0"/>
              <w:jc w:val="left"/>
            </w:pPr>
            <w:r>
              <w:t>Equipement de protection individuelle: voir la rubrique 8.</w:t>
            </w:r>
          </w:p>
        </w:tc>
        <w:tc>
          <w:tcPr>
            <w:tcW w:w="3276" w:type="dxa"/>
            <w:tcBorders>
              <w:top w:val="single" w:color="7F7F7F" w:sz="2" w:space="0"/>
              <w:left w:val="nil"/>
              <w:bottom w:val="single" w:color="7F7F7F" w:sz="2" w:space="0"/>
              <w:right w:val="nil"/>
            </w:tcBorders>
          </w:tcPr>
          <w:p>
            <w:pPr>
              <w:spacing w:after="1980" w:line="259" w:lineRule="auto"/>
              <w:ind w:left="0" w:firstLine="0"/>
              <w:jc w:val="left"/>
            </w:pPr>
            <w:r>
              <w:rPr>
                <w:sz w:val="16"/>
              </w:rPr>
              <w:t>Citron et citron vert 10%</w:t>
            </w:r>
          </w:p>
          <w:p>
            <w:pPr>
              <w:spacing w:after="0" w:line="259" w:lineRule="auto"/>
              <w:ind w:left="-77" w:firstLine="0"/>
              <w:jc w:val="left"/>
            </w:pPr>
            <w:r>
              <w:t>briques</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14/02/2022</w:t>
            </w:r>
          </w:p>
        </w:tc>
      </w:tr>
      <w:tr>
        <w:tblPrEx>
          <w:tblCellMar>
            <w:top w:w="48" w:type="dxa"/>
            <w:left w:w="0" w:type="dxa"/>
            <w:bottom w:w="0" w:type="dxa"/>
            <w:right w:w="0" w:type="dxa"/>
          </w:tblCellMar>
        </w:tblPrEx>
        <w:trPr>
          <w:trHeight w:val="356" w:hRule="atLeast"/>
        </w:trPr>
        <w:tc>
          <w:tcPr>
            <w:tcW w:w="6615" w:type="dxa"/>
            <w:gridSpan w:val="2"/>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7: MANIPULATION ET STOCKAGE</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9"/>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ind w:left="-5" w:right="67"/>
      </w:pPr>
      <w:r>
        <w:t>Information supplémentaire sur les conditions de stockage:</w:t>
      </w:r>
    </w:p>
    <w:p>
      <w:pPr>
        <w:ind w:left="-5" w:right="67"/>
      </w:pPr>
      <w:r>
        <w:t>Protéger les récipients contre les dommages.</w:t>
      </w:r>
    </w:p>
    <w:p>
      <w:pPr>
        <w:spacing w:after="156"/>
        <w:ind w:right="67"/>
      </w:pPr>
      <w:r>
        <w:t>7.3. Utilisation(s) finale(s) particulière(s)</w:t>
      </w:r>
    </w:p>
    <w:p>
      <w:pPr>
        <w:spacing w:after="763"/>
        <w:ind w:left="-5" w:right="67"/>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0" w:line="427" w:lineRule="auto"/>
        <w:ind w:left="-15" w:right="6080" w:firstLine="737"/>
      </w:pPr>
      <w:r>
        <w:t>8.1. Paramètres de contrôle Pas de données à ce jour.</w:t>
      </w:r>
    </w:p>
    <w:p>
      <w:pPr>
        <w:spacing w:after="139"/>
        <w:ind w:right="67"/>
      </w:pPr>
      <w:r>
        <w:t>8.2. Contrôles de l’exposition</w:t>
      </w:r>
    </w:p>
    <w:p>
      <w:pPr>
        <w:spacing w:after="0"/>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spacing w:after="0"/>
        <w:ind w:left="-5"/>
        <w:jc w:val="left"/>
      </w:pPr>
      <w:r>
        <w:rPr>
          <w:sz w:val="18"/>
        </w:rPr>
        <w:t>8.2.2. Mesures de protection individuelle:</w:t>
      </w:r>
    </w:p>
    <w:p>
      <w:pPr>
        <w:tabs>
          <w:tab w:val="center" w:pos="3083"/>
        </w:tabs>
        <w:spacing w:after="0"/>
        <w:ind w:left="-15" w:firstLine="0"/>
        <w:jc w:val="left"/>
      </w:pPr>
      <w:r>
        <w:rPr>
          <w:sz w:val="18"/>
        </w:rPr>
        <w:t>-Protection des mains :</w:t>
      </w:r>
      <w:r>
        <w:rPr>
          <w:sz w:val="18"/>
        </w:rPr>
        <w:tab/>
      </w:r>
      <w:r>
        <w:rPr>
          <w:sz w:val="18"/>
        </w:rPr>
        <w:t>protection non requise.</w:t>
      </w:r>
    </w:p>
    <w:p>
      <w:pPr>
        <w:tabs>
          <w:tab w:val="center" w:pos="3083"/>
        </w:tabs>
        <w:spacing w:after="0"/>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spacing w:after="0"/>
        <w:ind w:left="-5"/>
        <w:jc w:val="left"/>
      </w:pPr>
      <w:r>
        <w:rPr>
          <w:sz w:val="18"/>
        </w:rPr>
        <w:t>8.2.3. Contrôle d'exposition lié à la protection de l'environnement:</w:t>
      </w:r>
    </w:p>
    <w:p>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spacing w:after="0"/>
        <w:ind w:left="-5"/>
        <w:jc w:val="left"/>
      </w:pPr>
      <w:r>
        <w:rPr>
          <w:sz w:val="18"/>
        </w:rPr>
        <w:t>Mesures visant à prévenir l'exposition liée à la substance/au mélange: pas de mesures spécifiques.</w:t>
      </w:r>
    </w:p>
    <w:p>
      <w:pPr>
        <w:spacing w:after="0"/>
        <w:ind w:left="-5"/>
        <w:jc w:val="left"/>
      </w:pPr>
      <w:r>
        <w:rPr>
          <w:sz w:val="18"/>
        </w:rPr>
        <w:t>Mesures d'instruction visant à prévenir l'exposition: pas de mesures spécifiques.</w:t>
      </w:r>
    </w:p>
    <w:p>
      <w:pPr>
        <w:spacing w:after="1784"/>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spacing w:after="156"/>
        <w:ind w:right="67"/>
      </w:pPr>
      <w:r>
        <w:t>9.1. Informations sur les propriétés physiques et chimiques essentielles</w:t>
      </w:r>
    </w:p>
    <w:p>
      <w:pPr>
        <w:tabs>
          <w:tab w:val="center" w:pos="3374"/>
        </w:tabs>
        <w:ind w:left="-15" w:firstLine="0"/>
        <w:jc w:val="left"/>
      </w:pPr>
      <w:r>
        <w:rPr>
          <w:rFonts w:ascii="Tahoma" w:hAnsi="Tahoma" w:eastAsia="Tahoma" w:cs="Tahoma"/>
          <w:sz w:val="18"/>
        </w:rPr>
        <w:t>Etat physique (@20°C-1 atm.) :</w:t>
      </w:r>
      <w:r>
        <w:rPr>
          <w:rFonts w:ascii="Tahoma" w:hAnsi="Tahoma" w:eastAsia="Tahoma" w:cs="Tahoma"/>
          <w:sz w:val="18"/>
        </w:rPr>
        <w:tab/>
      </w:r>
      <w:r>
        <w:rPr>
          <w:rFonts w:ascii="Tahoma" w:hAnsi="Tahoma" w:eastAsia="Tahoma" w:cs="Tahoma"/>
          <w:b/>
          <w:sz w:val="18"/>
        </w:rPr>
        <w:t>Solide</w:t>
      </w:r>
    </w:p>
    <w:tbl>
      <w:tblPr>
        <w:tblStyle w:val="10"/>
        <w:tblW w:w="9640" w:type="dxa"/>
        <w:tblInd w:w="-56" w:type="dxa"/>
        <w:tblLayout w:type="autofit"/>
        <w:tblCellMar>
          <w:top w:w="45" w:type="dxa"/>
          <w:left w:w="0" w:type="dxa"/>
          <w:bottom w:w="56" w:type="dxa"/>
          <w:right w:w="0" w:type="dxa"/>
        </w:tblCellMar>
      </w:tblPr>
      <w:tblGrid>
        <w:gridCol w:w="3152"/>
        <w:gridCol w:w="3463"/>
        <w:gridCol w:w="3025"/>
      </w:tblGrid>
      <w:tr>
        <w:tblPrEx>
          <w:tblCellMar>
            <w:top w:w="45" w:type="dxa"/>
            <w:left w:w="0" w:type="dxa"/>
            <w:bottom w:w="56"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securité</w:t>
            </w:r>
          </w:p>
        </w:tc>
      </w:tr>
      <w:tr>
        <w:tblPrEx>
          <w:tblCellMar>
            <w:top w:w="45" w:type="dxa"/>
            <w:left w:w="0" w:type="dxa"/>
            <w:bottom w:w="56" w:type="dxa"/>
            <w:right w:w="0"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14/02/2022</w:t>
            </w:r>
          </w:p>
        </w:tc>
        <w:tc>
          <w:tcPr>
            <w:tcW w:w="3463" w:type="dxa"/>
            <w:tcBorders>
              <w:top w:val="single" w:color="7F7F7F" w:sz="2" w:space="0"/>
              <w:left w:val="nil"/>
              <w:bottom w:val="nil"/>
              <w:right w:val="nil"/>
            </w:tcBorders>
          </w:tcPr>
          <w:p>
            <w:pPr>
              <w:spacing w:after="0" w:line="259" w:lineRule="auto"/>
              <w:ind w:left="187" w:firstLine="0"/>
              <w:jc w:val="left"/>
            </w:pPr>
            <w:r>
              <w:rPr>
                <w:sz w:val="16"/>
              </w:rPr>
              <w:t>Citron et citron vert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14/02/2022</w:t>
            </w:r>
          </w:p>
        </w:tc>
      </w:tr>
      <w:tr>
        <w:tblPrEx>
          <w:tblCellMar>
            <w:top w:w="45" w:type="dxa"/>
            <w:left w:w="0" w:type="dxa"/>
            <w:bottom w:w="56" w:type="dxa"/>
            <w:right w:w="0" w:type="dxa"/>
          </w:tblCellMar>
        </w:tblPrEx>
        <w:trPr>
          <w:trHeight w:val="680"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Couleur :</w:t>
            </w:r>
          </w:p>
          <w:p>
            <w:pPr>
              <w:spacing w:after="0" w:line="259" w:lineRule="auto"/>
              <w:ind w:left="56" w:firstLine="0"/>
              <w:jc w:val="left"/>
            </w:pPr>
            <w:r>
              <w:rPr>
                <w:rFonts w:ascii="Tahoma" w:hAnsi="Tahoma" w:eastAsia="Tahoma" w:cs="Tahoma"/>
                <w:sz w:val="18"/>
              </w:rPr>
              <w:t>Odeur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Caractéristique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551"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de fusion/point de congélation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d’ébullition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7" w:hRule="atLeast"/>
        </w:trPr>
        <w:tc>
          <w:tcPr>
            <w:tcW w:w="3152" w:type="dxa"/>
            <w:tcBorders>
              <w:top w:val="nil"/>
              <w:left w:val="nil"/>
              <w:bottom w:val="nil"/>
              <w:right w:val="nil"/>
            </w:tcBorders>
          </w:tcPr>
          <w:p>
            <w:pPr>
              <w:spacing w:after="99" w:line="259" w:lineRule="auto"/>
              <w:ind w:left="56" w:firstLine="0"/>
              <w:jc w:val="left"/>
            </w:pPr>
            <w:r>
              <w:rPr>
                <w:rFonts w:ascii="Tahoma" w:hAnsi="Tahoma" w:eastAsia="Tahoma" w:cs="Tahoma"/>
                <w:sz w:val="18"/>
              </w:rPr>
              <w:t>Inflammabilité :</w:t>
            </w:r>
          </w:p>
          <w:p>
            <w:pPr>
              <w:spacing w:after="0" w:line="259" w:lineRule="auto"/>
              <w:ind w:left="56" w:firstLine="0"/>
              <w:jc w:val="left"/>
            </w:pPr>
            <w:r>
              <w:rPr>
                <w:rFonts w:ascii="Tahoma" w:hAnsi="Tahoma" w:eastAsia="Tahoma" w:cs="Tahoma"/>
                <w:sz w:val="18"/>
              </w:rPr>
              <w:t>Limites inférieure et supérieure d’explosion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déterminées</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d’éclair (°C)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d'auto-inflammation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de décomposition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671" w:hRule="atLeast"/>
        </w:trPr>
        <w:tc>
          <w:tcPr>
            <w:tcW w:w="3152" w:type="dxa"/>
            <w:tcBorders>
              <w:top w:val="nil"/>
              <w:left w:val="nil"/>
              <w:bottom w:val="nil"/>
              <w:right w:val="nil"/>
            </w:tcBorders>
          </w:tcPr>
          <w:p>
            <w:pPr>
              <w:spacing w:after="99" w:line="259" w:lineRule="auto"/>
              <w:ind w:left="56" w:firstLine="0"/>
              <w:jc w:val="left"/>
            </w:pPr>
            <w:r>
              <w:rPr>
                <w:rFonts w:ascii="Tahoma" w:hAnsi="Tahoma" w:eastAsia="Tahoma" w:cs="Tahoma"/>
                <w:sz w:val="18"/>
              </w:rPr>
              <w:t>pH :</w:t>
            </w:r>
          </w:p>
          <w:p>
            <w:pPr>
              <w:spacing w:after="0" w:line="259" w:lineRule="auto"/>
              <w:ind w:left="56" w:firstLine="0"/>
              <w:jc w:val="left"/>
            </w:pPr>
            <w:r>
              <w:rPr>
                <w:rFonts w:ascii="Tahoma" w:hAnsi="Tahoma" w:eastAsia="Tahoma" w:cs="Tahoma"/>
                <w:sz w:val="18"/>
              </w:rPr>
              <w:t>Viscosité cinématique (mm²/s)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5" w:hRule="atLeast"/>
        </w:trPr>
        <w:tc>
          <w:tcPr>
            <w:tcW w:w="3152" w:type="dxa"/>
            <w:tcBorders>
              <w:top w:val="nil"/>
              <w:left w:val="nil"/>
              <w:bottom w:val="nil"/>
              <w:right w:val="nil"/>
            </w:tcBorders>
          </w:tcPr>
          <w:p>
            <w:pPr>
              <w:spacing w:after="100"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7" w:hRule="atLeast"/>
        </w:trPr>
        <w:tc>
          <w:tcPr>
            <w:tcW w:w="3152" w:type="dxa"/>
            <w:tcBorders>
              <w:top w:val="nil"/>
              <w:left w:val="nil"/>
              <w:bottom w:val="nil"/>
              <w:right w:val="nil"/>
            </w:tcBorders>
          </w:tcPr>
          <w:p>
            <w:pPr>
              <w:spacing w:after="120"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427"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1440" w:hRule="atLeast"/>
        </w:trPr>
        <w:tc>
          <w:tcPr>
            <w:tcW w:w="3152" w:type="dxa"/>
            <w:tcBorders>
              <w:top w:val="nil"/>
              <w:left w:val="nil"/>
              <w:bottom w:val="single" w:color="7F7F7F" w:sz="2" w:space="0"/>
              <w:right w:val="nil"/>
            </w:tcBorders>
          </w:tcPr>
          <w:p>
            <w:pPr>
              <w:spacing w:after="163" w:line="259" w:lineRule="auto"/>
              <w:ind w:left="793" w:firstLine="0"/>
              <w:jc w:val="left"/>
            </w:pPr>
            <w:r>
              <w:t>9.2. Autres informations</w:t>
            </w:r>
          </w:p>
          <w:p>
            <w:pPr>
              <w:spacing w:after="97"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3463" w:type="dxa"/>
            <w:tcBorders>
              <w:top w:val="nil"/>
              <w:left w:val="nil"/>
              <w:bottom w:val="single" w:color="7F7F7F" w:sz="2" w:space="0"/>
              <w:right w:val="nil"/>
            </w:tcBorders>
            <w:vAlign w:val="bottom"/>
          </w:tcPr>
          <w:p>
            <w:pPr>
              <w:spacing w:after="0" w:line="259" w:lineRule="auto"/>
              <w:ind w:left="0" w:right="-2556" w:firstLine="0"/>
            </w:pPr>
            <w:r>
              <w:rPr>
                <w:rFonts w:ascii="Tahoma" w:hAnsi="Tahoma" w:eastAsia="Tahoma" w:cs="Tahoma"/>
                <w:b/>
                <w:sz w:val="18"/>
              </w:rPr>
              <w:t>24 mois à faible température entre 15°C et 20°C dans un récipient fermé hermétiquement et à l'abri de la lumière.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56"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6"/>
        <w:ind w:right="67"/>
      </w:pPr>
      <w:r>
        <w:t>10.1. Réactivité</w:t>
      </w:r>
    </w:p>
    <w:p>
      <w:pPr>
        <w:spacing w:after="676"/>
        <w:ind w:left="-5" w:right="67"/>
      </w:pPr>
      <w:r>
        <w:t>Aucune donnée d'essai spécifique disponible relative à la réactivité de ce produit ou de ses ingrédients.</w:t>
      </w:r>
    </w:p>
    <w:p>
      <w:pPr>
        <w:spacing w:after="153"/>
        <w:ind w:right="67"/>
      </w:pPr>
      <w:r>
        <w:t>10.2. Stabilité chimique</w:t>
      </w:r>
    </w:p>
    <w:p>
      <w:pPr>
        <w:spacing w:after="702"/>
        <w:ind w:left="-5" w:right="67"/>
      </w:pPr>
      <w:r>
        <w:t>La substance est chimiquement stable dans les conditions recommandées de stockage, d'utilisation et de température.</w:t>
      </w:r>
    </w:p>
    <w:p>
      <w:pPr>
        <w:spacing w:after="156"/>
        <w:ind w:right="67"/>
      </w:pPr>
      <w:r>
        <w:t>10.3. Possibilité de réactions dangereuses</w:t>
      </w:r>
    </w:p>
    <w:p>
      <w:pPr>
        <w:ind w:left="-5" w:right="67"/>
      </w:pPr>
      <w:r>
        <w:t>Aucune réaction dangereuse lorsqu'il est manipulé et stocké conformément aux dispositions.</w:t>
      </w:r>
    </w:p>
    <w:p>
      <w:pPr>
        <w:ind w:left="-5" w:right="67"/>
      </w:pPr>
      <w:r>
        <w:t>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2"/>
        <w:ind w:left="-5" w:right="5068"/>
      </w:pPr>
      <w:r>
        <w:t>Eviter le contact avec des agents oxydants. Sources directes de chaleur.</w:t>
      </w:r>
    </w:p>
    <w:p>
      <w:pPr>
        <w:spacing w:after="545" w:line="425" w:lineRule="auto"/>
        <w:ind w:left="-15" w:right="5753" w:firstLine="737"/>
      </w:pPr>
      <w:r>
        <w:t>10.5. Matières incompatibles Acides - Bases - Agents oxydants.</w:t>
      </w:r>
    </w:p>
    <w:p>
      <w:pPr>
        <w:spacing w:after="156"/>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851"/>
      </w:pPr>
      <w:r>
        <w:t>corrosion cutanée/irritation cutanéevoir section 2</w:t>
      </w:r>
    </w:p>
    <w:p>
      <w:pPr>
        <w:numPr>
          <w:ilvl w:val="0"/>
          <w:numId w:val="2"/>
        </w:numPr>
        <w:spacing w:after="193"/>
        <w:ind w:right="5851"/>
      </w:pPr>
      <w:r>
        <w:t>lésions oculaires graves/irritation oculairevoir section 2</w:t>
      </w:r>
    </w:p>
    <w:p>
      <w:pPr>
        <w:numPr>
          <w:ilvl w:val="0"/>
          <w:numId w:val="2"/>
        </w:numPr>
        <w:spacing w:after="193"/>
        <w:ind w:right="5851"/>
      </w:pPr>
      <w:r>
        <w:t>sensibilisation respiratoire ou cutanéevoir section 2</w:t>
      </w:r>
    </w:p>
    <w:p>
      <w:pPr>
        <w:numPr>
          <w:ilvl w:val="0"/>
          <w:numId w:val="2"/>
        </w:numPr>
        <w:spacing w:after="193"/>
        <w:ind w:right="5851"/>
      </w:pPr>
      <w:r>
        <w:t>mutagénicité sur les cellules germinalesvoir section 2</w:t>
      </w:r>
    </w:p>
    <w:p>
      <w:pPr>
        <w:numPr>
          <w:ilvl w:val="0"/>
          <w:numId w:val="2"/>
        </w:numPr>
        <w:spacing w:after="193"/>
        <w:ind w:right="5851"/>
      </w:pPr>
      <w:r>
        <w:t>cancérogénicitévoir section 2</w:t>
      </w:r>
    </w:p>
    <w:p>
      <w:pPr>
        <w:numPr>
          <w:ilvl w:val="0"/>
          <w:numId w:val="2"/>
        </w:numPr>
        <w:ind w:right="5851"/>
      </w:pPr>
      <w:r>
        <w:t>toxicité pour la reproductionvoir section 2</w:t>
      </w:r>
    </w:p>
    <w:p>
      <w:pPr>
        <w:pStyle w:val="2"/>
      </w:pPr>
      <w:r>
        <w:t>Fiche de données de securité</w:t>
      </w:r>
    </w:p>
    <w:p>
      <w:pPr>
        <w:tabs>
          <w:tab w:val="center" w:pos="1779"/>
          <w:tab w:val="center" w:pos="4145"/>
          <w:tab w:val="right" w:pos="9620"/>
        </w:tabs>
        <w:spacing w:after="212"/>
        <w:ind w:left="-15" w:firstLine="0"/>
        <w:jc w:val="left"/>
      </w:pPr>
      <w:r>
        <w:rPr>
          <w:sz w:val="16"/>
        </w:rPr>
        <w:t>Édité le :</w:t>
      </w:r>
      <w:r>
        <w:rPr>
          <w:sz w:val="16"/>
        </w:rPr>
        <w:tab/>
      </w:r>
      <w:r>
        <w:rPr>
          <w:sz w:val="16"/>
        </w:rPr>
        <w:t>14/02/2022</w:t>
      </w:r>
      <w:r>
        <w:rPr>
          <w:sz w:val="16"/>
        </w:rPr>
        <w:tab/>
      </w:r>
      <w:r>
        <w:rPr>
          <w:sz w:val="16"/>
        </w:rPr>
        <w:t>Citron et citron vert 10%</w:t>
      </w:r>
      <w:r>
        <w:rPr>
          <w:sz w:val="16"/>
        </w:rPr>
        <w:tab/>
      </w:r>
      <w:r>
        <w:rPr>
          <w:sz w:val="16"/>
        </w:rPr>
        <w:t>Révision : 001NEW-1-CLP du 14/02/2022</w:t>
      </w:r>
    </w:p>
    <w:p>
      <w:pPr>
        <w:numPr>
          <w:ilvl w:val="0"/>
          <w:numId w:val="3"/>
        </w:numPr>
        <w:spacing w:after="193"/>
        <w:ind w:right="2499"/>
      </w:pPr>
      <w:r>
        <w:t>toxicité spécifique pour certains organes cibles (STOT) - exposition uniquevoir section 2</w:t>
      </w:r>
    </w:p>
    <w:p>
      <w:pPr>
        <w:numPr>
          <w:ilvl w:val="0"/>
          <w:numId w:val="3"/>
        </w:numPr>
        <w:spacing w:after="193"/>
        <w:ind w:right="2499"/>
      </w:pPr>
      <w:r>
        <w:t>toxicité spécifique pour certains organes cibles (STOT) - exposition répétéevoir section 2</w:t>
      </w:r>
    </w:p>
    <w:p>
      <w:pPr>
        <w:numPr>
          <w:ilvl w:val="0"/>
          <w:numId w:val="3"/>
        </w:numPr>
        <w:spacing w:after="1136"/>
        <w:ind w:right="2499"/>
      </w:pPr>
      <w:r>
        <w:t>danger par aspirationvoir section 2</w:t>
      </w:r>
    </w:p>
    <w:p>
      <w:pPr>
        <w:spacing w:after="156"/>
        <w:ind w:right="67"/>
      </w:pPr>
      <w:r>
        <w:t>11.2.  Informations sur les autres dangers</w:t>
      </w:r>
    </w:p>
    <w:p>
      <w:pPr>
        <w:numPr>
          <w:ilvl w:val="2"/>
          <w:numId w:val="4"/>
        </w:numPr>
        <w:spacing w:after="193"/>
        <w:ind w:right="5742"/>
      </w:pPr>
      <w:r>
        <w:t>Propriétés perturbant le système endocrinien: pas de données à ce jour.</w:t>
      </w:r>
    </w:p>
    <w:p>
      <w:pPr>
        <w:numPr>
          <w:ilvl w:val="2"/>
          <w:numId w:val="4"/>
        </w:numPr>
        <w:spacing w:after="730"/>
        <w:ind w:right="5742"/>
      </w:pPr>
      <w:r>
        <w:t>Autres informations: pas de données à ce jour.</w:t>
      </w:r>
    </w:p>
    <w:p>
      <w:pPr>
        <w:pStyle w:val="3"/>
        <w:ind w:left="-5"/>
      </w:pPr>
      <w:r>
        <w:t>12: INFORMATIONS ECOLOGIQUES</w:t>
      </w:r>
    </w:p>
    <w:p>
      <w:pPr>
        <w:spacing w:after="156"/>
        <w:ind w:right="67"/>
      </w:pPr>
      <w:r>
        <w:t>12.1. Toxicité</w:t>
      </w:r>
    </w:p>
    <w:p>
      <w:pPr>
        <w:spacing w:after="701"/>
        <w:ind w:left="-5" w:right="67"/>
      </w:pPr>
      <w:r>
        <w:t>Ne pas laisser le produit, non dilué ou en grande quantité, pénétrer la nappe phréatique, les eaux superficielles ou les égouts.</w:t>
      </w:r>
    </w:p>
    <w:p>
      <w:pPr>
        <w:spacing w:after="540" w:line="427" w:lineRule="auto"/>
        <w:ind w:left="-15" w:right="5591" w:firstLine="737"/>
      </w:pPr>
      <w:r>
        <w:t>12.2. Persistance et dégradabilité Pas de données à ce jour.</w:t>
      </w:r>
    </w:p>
    <w:p>
      <w:pPr>
        <w:spacing w:after="542" w:line="427" w:lineRule="auto"/>
        <w:ind w:left="-15" w:right="5502" w:firstLine="737"/>
      </w:pPr>
      <w:r>
        <w:t>12.3. Potentiel de bioaccumulation Pas de données à ce jour.</w:t>
      </w:r>
    </w:p>
    <w:p>
      <w:pPr>
        <w:spacing w:after="542" w:line="427" w:lineRule="auto"/>
        <w:ind w:left="-15" w:right="6356" w:firstLine="737"/>
      </w:pPr>
      <w:r>
        <w:t>12.4. Mobilité dans le sol Pas de données à ce jour.</w:t>
      </w:r>
    </w:p>
    <w:p>
      <w:pPr>
        <w:spacing w:line="425" w:lineRule="auto"/>
        <w:ind w:left="-15" w:right="4599" w:firstLine="737"/>
      </w:pPr>
      <w:r>
        <w:t>12.5. Résultats des évaluations PBT et vPvB Pas de données à ce jour.</w:t>
      </w:r>
    </w:p>
    <w:p>
      <w:pPr>
        <w:sectPr>
          <w:headerReference r:id="rId7" w:type="first"/>
          <w:footerReference r:id="rId10" w:type="first"/>
          <w:headerReference r:id="rId5" w:type="default"/>
          <w:footerReference r:id="rId8" w:type="default"/>
          <w:headerReference r:id="rId6" w:type="even"/>
          <w:footerReference r:id="rId9" w:type="even"/>
          <w:pgSz w:w="11900" w:h="16840"/>
          <w:pgMar w:top="1166" w:right="1090" w:bottom="2185" w:left="1190" w:header="720" w:footer="639" w:gutter="0"/>
          <w:cols w:space="720" w:num="1"/>
        </w:sectPr>
      </w:pPr>
    </w:p>
    <w:tbl>
      <w:tblPr>
        <w:tblStyle w:val="10"/>
        <w:tblW w:w="9640" w:type="dxa"/>
        <w:tblInd w:w="-56" w:type="dxa"/>
        <w:tblLayout w:type="autofit"/>
        <w:tblCellMar>
          <w:top w:w="48" w:type="dxa"/>
          <w:left w:w="0" w:type="dxa"/>
          <w:bottom w:w="0" w:type="dxa"/>
          <w:right w:w="53" w:type="dxa"/>
        </w:tblCellMar>
      </w:tblPr>
      <w:tblGrid>
        <w:gridCol w:w="6615"/>
        <w:gridCol w:w="3025"/>
      </w:tblGrid>
      <w:tr>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0" w:type="dxa"/>
            <w:right w:w="53" w:type="dxa"/>
          </w:tblCellMar>
        </w:tblPrEx>
        <w:trPr>
          <w:trHeight w:val="3383"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398" w:line="259" w:lineRule="auto"/>
              <w:ind w:left="0" w:firstLine="0"/>
              <w:jc w:val="left"/>
            </w:pPr>
            <w:r>
              <w:rPr>
                <w:sz w:val="16"/>
              </w:rPr>
              <w:t>Édité le :</w:t>
            </w:r>
            <w:r>
              <w:rPr>
                <w:sz w:val="16"/>
              </w:rPr>
              <w:tab/>
            </w:r>
            <w:r>
              <w:rPr>
                <w:sz w:val="16"/>
              </w:rPr>
              <w:t>14/02/2022</w:t>
            </w:r>
            <w:r>
              <w:rPr>
                <w:sz w:val="16"/>
              </w:rPr>
              <w:tab/>
            </w:r>
            <w:r>
              <w:rPr>
                <w:sz w:val="16"/>
              </w:rPr>
              <w:t>Citron et citron vert 10%</w:t>
            </w:r>
          </w:p>
          <w:p>
            <w:pPr>
              <w:spacing w:after="540"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14/02/2022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3"/>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64"/>
        <w:ind w:left="-5" w:right="67"/>
      </w:pPr>
      <w:r>
        <w:t>Manipuler les emballages contaminés de la même manière que la substance elle-même.</w:t>
      </w:r>
    </w:p>
    <w:p>
      <w:pPr>
        <w:pStyle w:val="3"/>
        <w:spacing w:after="139"/>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699"/>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133" w:line="251"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ind w:left="-5" w:right="67"/>
      </w:pPr>
      <w:r>
        <w:t>NON REGLEMENTE</w:t>
      </w:r>
    </w:p>
    <w:p>
      <w:pPr>
        <w:pStyle w:val="2"/>
        <w:ind w:right="333"/>
      </w:pPr>
      <w:r>
        <w:t>Fiche de données de securité</w:t>
      </w:r>
    </w:p>
    <w:p>
      <w:pPr>
        <w:tabs>
          <w:tab w:val="center" w:pos="1779"/>
          <w:tab w:val="center" w:pos="4146"/>
          <w:tab w:val="center" w:pos="8045"/>
        </w:tabs>
        <w:spacing w:after="918"/>
        <w:ind w:left="-15" w:firstLine="0"/>
        <w:jc w:val="left"/>
      </w:pPr>
      <w:r>
        <w:rPr>
          <w:sz w:val="16"/>
        </w:rPr>
        <w:t>Édité le :</w:t>
      </w:r>
      <w:r>
        <w:rPr>
          <w:sz w:val="16"/>
        </w:rPr>
        <w:tab/>
      </w:r>
      <w:r>
        <w:rPr>
          <w:sz w:val="16"/>
        </w:rPr>
        <w:t>14/02/2022</w:t>
      </w:r>
      <w:r>
        <w:rPr>
          <w:sz w:val="16"/>
        </w:rPr>
        <w:tab/>
      </w:r>
      <w:r>
        <w:rPr>
          <w:sz w:val="16"/>
        </w:rPr>
        <w:t>Citron et citron vert 10%</w:t>
      </w:r>
      <w:r>
        <w:rPr>
          <w:sz w:val="16"/>
        </w:rPr>
        <w:tab/>
      </w:r>
      <w:r>
        <w:rPr>
          <w:sz w:val="16"/>
        </w:rPr>
        <w:t>Révision : 001NEW-1-CLP du 14/02/2022</w:t>
      </w:r>
    </w:p>
    <w:p>
      <w:pPr>
        <w:spacing w:after="136"/>
        <w:ind w:right="67"/>
      </w:pPr>
      <w:r>
        <w:t>14.2. Désignation officielle de transport de l'ONU</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67"/>
      </w:pPr>
      <w:r>
        <w:t>14.3. Classe(s) de danger pour le transport</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14.4. Groupe d’emballage</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5" w:line="251" w:lineRule="auto"/>
        <w:ind w:left="-5" w:right="7405"/>
        <w:jc w:val="left"/>
      </w:pPr>
      <w:r>
        <w:rPr>
          <w:rFonts w:ascii="Microsoft Sans Serif" w:hAnsi="Microsoft Sans Serif" w:eastAsia="Microsoft Sans Serif" w:cs="Microsoft Sans Serif"/>
          <w:sz w:val="17"/>
        </w:rPr>
        <w:t>IMDG : NON REGLEMENTE</w:t>
      </w:r>
    </w:p>
    <w:p>
      <w:pPr>
        <w:spacing w:after="136"/>
        <w:ind w:right="67"/>
      </w:pPr>
      <w:r>
        <w:t>14.6. Précautions particulières à prendre par l’utilisateur</w:t>
      </w:r>
    </w:p>
    <w:p>
      <w:pPr>
        <w:spacing w:after="325" w:line="251" w:lineRule="auto"/>
        <w:ind w:left="-5" w:right="740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1" w:line="251"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ind w:left="-5" w:right="67"/>
      </w:pPr>
      <w:r>
        <w:t>DIRECTIVE 2008/98/CE DU PARLEMENT EUROPÉEN ET DU CONSEIL du 19 novembre 2008 relative aux déchets et abrogeant certaines directives.</w:t>
      </w:r>
    </w:p>
    <w:p>
      <w:pPr>
        <w:pStyle w:val="2"/>
        <w:ind w:right="333"/>
      </w:pPr>
      <w:r>
        <w:t>Fiche de données de securité</w:t>
      </w:r>
    </w:p>
    <w:p>
      <w:pPr>
        <w:tabs>
          <w:tab w:val="center" w:pos="1779"/>
          <w:tab w:val="center" w:pos="4146"/>
          <w:tab w:val="center" w:pos="8045"/>
        </w:tabs>
        <w:spacing w:after="212"/>
        <w:ind w:left="-15" w:firstLine="0"/>
        <w:jc w:val="left"/>
      </w:pPr>
      <w:r>
        <w:rPr>
          <w:sz w:val="16"/>
        </w:rPr>
        <w:t>Édité le :</w:t>
      </w:r>
      <w:r>
        <w:rPr>
          <w:sz w:val="16"/>
        </w:rPr>
        <w:tab/>
      </w:r>
      <w:r>
        <w:rPr>
          <w:sz w:val="16"/>
        </w:rPr>
        <w:t>14/02/2022</w:t>
      </w:r>
      <w:r>
        <w:rPr>
          <w:sz w:val="16"/>
        </w:rPr>
        <w:tab/>
      </w:r>
      <w:r>
        <w:rPr>
          <w:sz w:val="16"/>
        </w:rPr>
        <w:t>Citron et citron vert 10%</w:t>
      </w:r>
      <w:r>
        <w:rPr>
          <w:sz w:val="16"/>
        </w:rPr>
        <w:tab/>
      </w:r>
      <w:r>
        <w:rPr>
          <w:sz w:val="16"/>
        </w:rPr>
        <w:t>Révision : 001NEW-1-CLP du 14/02/2022</w:t>
      </w:r>
    </w:p>
    <w:p>
      <w:pPr>
        <w:spacing w:after="153"/>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6" w:line="259" w:lineRule="auto"/>
        <w:ind w:left="0" w:firstLine="0"/>
        <w:jc w:val="left"/>
      </w:pPr>
      <w:r>
        <w:rPr>
          <w:b/>
          <w:sz w:val="18"/>
        </w:rPr>
        <w:t>Texte intégral des phrases H citées en point 3 :</w:t>
      </w:r>
    </w:p>
    <w:p>
      <w:pPr>
        <w:tabs>
          <w:tab w:val="center" w:pos="3025"/>
        </w:tabs>
        <w:spacing w:after="88"/>
        <w:ind w:left="-15" w:firstLine="0"/>
        <w:jc w:val="left"/>
      </w:pPr>
      <w:r>
        <w:rPr>
          <w:sz w:val="18"/>
        </w:rPr>
        <w:t>H226</w:t>
      </w:r>
      <w:r>
        <w:rPr>
          <w:sz w:val="18"/>
        </w:rPr>
        <w:tab/>
      </w:r>
      <w:r>
        <w:rPr>
          <w:sz w:val="18"/>
        </w:rPr>
        <w:t>Liquide et vapeurs inflammables.</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91"/>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310" w:left="1190" w:header="720" w:footer="6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5"/>
        <w:tab w:val="right" w:pos="9620"/>
      </w:tabs>
      <w:spacing w:after="0" w:line="259" w:lineRule="auto"/>
      <w:ind w:left="0" w:firstLine="0"/>
      <w:jc w:val="left"/>
    </w:pPr>
    <w:r>
      <w:rPr>
        <w:sz w:val="16"/>
      </w:rPr>
      <w:t>Édité le :</w:t>
    </w:r>
    <w:r>
      <w:rPr>
        <w:sz w:val="16"/>
      </w:rPr>
      <w:tab/>
    </w:r>
    <w:r>
      <w:rPr>
        <w:sz w:val="16"/>
      </w:rPr>
      <w:t>14/02/2022</w:t>
    </w:r>
    <w:r>
      <w:rPr>
        <w:sz w:val="16"/>
      </w:rPr>
      <w:tab/>
    </w:r>
    <w:r>
      <w:rPr>
        <w:sz w:val="16"/>
      </w:rPr>
      <w:t>Citron et citron vert 10%</w:t>
    </w:r>
    <w:r>
      <w:rPr>
        <w:sz w:val="16"/>
      </w:rPr>
      <w:tab/>
    </w:r>
    <w:r>
      <w:rPr>
        <w:sz w:val="16"/>
      </w:rPr>
      <w:t>Révision : 001NEW-1-CLP du 14/02/2022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24D12"/>
    <w:multiLevelType w:val="multilevel"/>
    <w:tmpl w:val="0A824D12"/>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12AB504A"/>
    <w:multiLevelType w:val="multilevel"/>
    <w:tmpl w:val="12AB504A"/>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1BE544C3"/>
    <w:multiLevelType w:val="multilevel"/>
    <w:tmpl w:val="1BE544C3"/>
    <w:lvl w:ilvl="0" w:tentative="0">
      <w:start w:val="8"/>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
    <w:nsid w:val="71B3431F"/>
    <w:multiLevelType w:val="multilevel"/>
    <w:tmpl w:val="71B3431F"/>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93"/>
    <w:rsid w:val="002F3728"/>
    <w:rsid w:val="00964193"/>
    <w:rsid w:val="31073AD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0" w:line="259" w:lineRule="auto"/>
      <w:ind w:left="10" w:right="88" w:hanging="10"/>
      <w:jc w:val="center"/>
      <w:outlineLvl w:val="0"/>
    </w:pPr>
    <w:rPr>
      <w:rFonts w:ascii="Arial" w:hAnsi="Arial" w:eastAsia="Arial" w:cs="Arial"/>
      <w:b/>
      <w:color w:val="000000"/>
      <w:sz w:val="36"/>
      <w:szCs w:val="22"/>
      <w:lang w:val="fr-FR" w:eastAsia="fr-FR" w:bidi="ar-SA"/>
    </w:rPr>
  </w:style>
  <w:style w:type="paragraph" w:styleId="3">
    <w:name w:val="heading 2"/>
    <w:next w:val="1"/>
    <w:link w:val="8"/>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paragraph" w:styleId="4">
    <w:name w:val="heading 3"/>
    <w:next w:val="1"/>
    <w:link w:val="9"/>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2"/>
    </w:pPr>
    <w:rPr>
      <w:rFonts w:ascii="Arial" w:hAnsi="Arial" w:eastAsia="Arial" w:cs="Arial"/>
      <w:color w:val="000000"/>
      <w:sz w:val="22"/>
      <w:szCs w:val="22"/>
      <w:lang w:val="fr-FR" w:eastAsia="fr-FR"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customStyle="1" w:styleId="7">
    <w:name w:val="Titre 1 Car"/>
    <w:link w:val="2"/>
    <w:qFormat/>
    <w:uiPriority w:val="0"/>
    <w:rPr>
      <w:rFonts w:ascii="Arial" w:hAnsi="Arial" w:eastAsia="Arial" w:cs="Arial"/>
      <w:b/>
      <w:color w:val="000000"/>
      <w:sz w:val="36"/>
    </w:rPr>
  </w:style>
  <w:style w:type="character" w:customStyle="1" w:styleId="8">
    <w:name w:val="Titre 2 Car"/>
    <w:link w:val="3"/>
    <w:qFormat/>
    <w:uiPriority w:val="0"/>
    <w:rPr>
      <w:rFonts w:ascii="Arial" w:hAnsi="Arial" w:eastAsia="Arial" w:cs="Arial"/>
      <w:color w:val="000000"/>
      <w:sz w:val="22"/>
    </w:rPr>
  </w:style>
  <w:style w:type="character" w:customStyle="1" w:styleId="9">
    <w:name w:val="Titre 3 Car"/>
    <w:link w:val="4"/>
    <w:qFormat/>
    <w:uiPriority w:val="0"/>
    <w:rPr>
      <w:rFonts w:ascii="Arial" w:hAnsi="Arial" w:eastAsia="Arial" w:cs="Arial"/>
      <w:color w:val="000000"/>
      <w:sz w:val="22"/>
    </w:r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2993</Words>
  <Characters>16462</Characters>
  <Lines>137</Lines>
  <Paragraphs>38</Paragraphs>
  <TotalTime>0</TotalTime>
  <ScaleCrop>false</ScaleCrop>
  <LinksUpToDate>false</LinksUpToDate>
  <CharactersWithSpaces>19417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2022-02-15T07:49:00Z</dcterms:created>
  <dc:creator>stagiaire</dc:creator>
  <cp:lastModifiedBy>Laetitia Castro</cp:lastModifiedBy>
  <dcterms:modified xsi:type="dcterms:W3CDTF">2024-02-08T09:48:44Z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414E41B754D94F48B2CBD4D4B6F3EEB0_12</vt:lpwstr>
  </property>
</Properties>
</file>