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Fiche de données de securité</w:t>
      </w:r>
    </w:p>
    <w:p>
      <w:pPr>
        <w:tabs>
          <w:tab w:val="center" w:pos="1779"/>
          <w:tab w:val="right" w:pos="9620"/>
        </w:tabs>
        <w:spacing w:after="370" w:line="259" w:lineRule="auto"/>
        <w:ind w:left="-15" w:firstLine="0"/>
        <w:jc w:val="left"/>
      </w:pPr>
      <w:r>
        <w:rPr>
          <w:sz w:val="16"/>
        </w:rPr>
        <w:t>Édité le :</w:t>
      </w:r>
      <w:r>
        <w:rPr>
          <w:sz w:val="16"/>
        </w:rPr>
        <w:tab/>
      </w:r>
      <w:r>
        <w:rPr>
          <w:sz w:val="16"/>
        </w:rPr>
        <w:t>09/02/2022</w:t>
      </w:r>
      <w:r>
        <w:rPr>
          <w:sz w:val="16"/>
        </w:rPr>
        <w:tab/>
      </w:r>
      <w:r>
        <w:rPr>
          <w:sz w:val="16"/>
        </w:rPr>
        <w:t>Révision : 001NEW-1-CLP du 09/02/2022</w:t>
      </w:r>
    </w:p>
    <w:p>
      <w:pPr>
        <w:pStyle w:val="3"/>
        <w:pBdr>
          <w:top w:val="single" w:color="000000" w:sz="6" w:space="0"/>
          <w:left w:val="single" w:color="000000" w:sz="6" w:space="0"/>
          <w:bottom w:val="single" w:color="000000" w:sz="6" w:space="0"/>
          <w:right w:val="single" w:color="000000" w:sz="6" w:space="0"/>
        </w:pBdr>
        <w:shd w:val="clear" w:color="auto" w:fill="auto"/>
        <w:spacing w:after="136"/>
        <w:ind w:left="0" w:right="84" w:firstLine="0"/>
        <w:jc w:val="center"/>
      </w:pPr>
      <w:r>
        <w:rPr>
          <w:b/>
          <w:sz w:val="32"/>
        </w:rPr>
        <w:t>Crème brulée 10%</w:t>
      </w:r>
    </w:p>
    <w:p>
      <w:pPr>
        <w:pStyle w:val="4"/>
        <w:ind w:left="-5"/>
      </w:pPr>
      <w:r>
        <w:t>1: IDENTIFICATION DE LA SUBSTANCE/DU MELANGE ET DE LA SOCIETE/L'ENTREPRISE</w:t>
      </w:r>
    </w:p>
    <w:p>
      <w:pPr>
        <w:spacing w:after="134"/>
        <w:ind w:right="67"/>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Crème brulée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4"/>
        <w:ind w:left="-5"/>
      </w:pPr>
      <w:r>
        <w:t>2: IDENTIFICATION DES DANGERS</w:t>
      </w:r>
    </w:p>
    <w:p>
      <w:pPr>
        <w:spacing w:after="139"/>
        <w:ind w:right="67"/>
      </w:pPr>
      <w:r>
        <w:t>2.1. Classification de la substance ou du mélange</w:t>
      </w:r>
    </w:p>
    <w:p>
      <w:pPr>
        <w:spacing w:after="86" w:line="259" w:lineRule="auto"/>
        <w:ind w:left="-5"/>
        <w:jc w:val="left"/>
      </w:pPr>
      <w:r>
        <w:rPr>
          <w:sz w:val="18"/>
          <w:u w:val="single" w:color="000000"/>
        </w:rPr>
        <w:t>Classification GHS :</w:t>
      </w:r>
    </w:p>
    <w:p>
      <w:pPr>
        <w:spacing w:after="326" w:line="250" w:lineRule="auto"/>
        <w:ind w:left="-5" w:right="7405"/>
        <w:jc w:val="left"/>
      </w:pPr>
      <w:r>
        <w:rPr>
          <w:rFonts w:ascii="Microsoft Sans Serif" w:hAnsi="Microsoft Sans Serif" w:eastAsia="Microsoft Sans Serif" w:cs="Microsoft Sans Serif"/>
          <w:sz w:val="17"/>
        </w:rPr>
        <w:t>(LégislationCLP)</w:t>
      </w:r>
    </w:p>
    <w:p>
      <w:pPr>
        <w:spacing w:after="515" w:line="250" w:lineRule="auto"/>
        <w:ind w:left="-5" w:right="1114"/>
        <w:jc w:val="left"/>
      </w:pPr>
      <w:r>
        <w:rPr>
          <w:rFonts w:ascii="Microsoft Sans Serif" w:hAnsi="Microsoft Sans Serif" w:eastAsia="Microsoft Sans Serif" w:cs="Microsoft Sans Serif"/>
          <w:sz w:val="17"/>
        </w:rPr>
        <w:t>EUH208 - Contient 1,3-benzodioxole-5-carbaldehyde (heliotropin).  Peut produire une réaction allergique EUH210 - Fiche de données de sécurité disponible sur demande.</w:t>
      </w:r>
    </w:p>
    <w:p>
      <w:pPr>
        <w:spacing w:after="139"/>
        <w:ind w:right="67"/>
      </w:pPr>
      <w:r>
        <w:t>2.2. Éléments d'étiquetage</w:t>
      </w:r>
    </w:p>
    <w:p>
      <w:pPr>
        <w:spacing w:after="86" w:line="259" w:lineRule="auto"/>
        <w:ind w:left="-5"/>
        <w:jc w:val="left"/>
      </w:pPr>
      <w:r>
        <w:rPr>
          <w:sz w:val="18"/>
          <w:u w:val="single" w:color="000000"/>
        </w:rPr>
        <w:t>Classification GHS :</w:t>
      </w:r>
    </w:p>
    <w:p>
      <w:pPr>
        <w:spacing w:after="955" w:line="250" w:lineRule="auto"/>
        <w:ind w:left="-5" w:right="7405"/>
        <w:jc w:val="left"/>
      </w:pPr>
      <w:r>
        <w:rPr>
          <w:rFonts w:ascii="Microsoft Sans Serif" w:hAnsi="Microsoft Sans Serif" w:eastAsia="Microsoft Sans Serif" w:cs="Microsoft Sans Serif"/>
          <w:sz w:val="17"/>
        </w:rPr>
        <w:t>(LégislationCLP)</w:t>
      </w:r>
    </w:p>
    <w:p>
      <w:pPr>
        <w:spacing w:after="496" w:line="248" w:lineRule="auto"/>
        <w:ind w:left="-5" w:right="703"/>
        <w:jc w:val="left"/>
      </w:pPr>
      <w:r>
        <w:rPr>
          <w:rFonts w:ascii="Tahoma" w:hAnsi="Tahoma" w:eastAsia="Tahoma" w:cs="Tahoma"/>
          <w:sz w:val="18"/>
        </w:rPr>
        <w:t>EUH208 - Contient 1,3-benzodioxole-5-carbaldehyde (heliotropin).  Peut produire une réaction allergique EUH210 - Fiche de données de sécurité disponible sur demande.</w:t>
      </w:r>
    </w:p>
    <w:p>
      <w:pPr>
        <w:spacing w:after="156"/>
        <w:ind w:right="67"/>
      </w:pPr>
      <w:r>
        <w:t>2.3. Autres dangers</w:t>
      </w:r>
    </w:p>
    <w:p>
      <w:pPr>
        <w:spacing w:after="784"/>
        <w:ind w:left="-5" w:right="67"/>
      </w:pPr>
      <w:r>
        <w:t xml:space="preserve">Non applicable </w:t>
      </w:r>
    </w:p>
    <w:p>
      <w:pPr>
        <w:pStyle w:val="4"/>
        <w:ind w:left="-5"/>
      </w:pPr>
      <w:r>
        <w:t>3: COMPOSITION/INFORMATIONS SUR LES COMPOSANTS</w:t>
      </w:r>
    </w:p>
    <w:p>
      <w:pPr>
        <w:spacing w:after="153"/>
        <w:ind w:right="67"/>
      </w:pPr>
      <w:r>
        <w:t>3.1. Substances</w:t>
      </w:r>
    </w:p>
    <w:p>
      <w:pPr>
        <w:spacing w:after="1116"/>
        <w:ind w:left="-5" w:right="67"/>
      </w:pPr>
      <w:r>
        <w:t xml:space="preserve">Produit non concerné par la liste de composants. </w:t>
      </w:r>
    </w:p>
    <w:p>
      <w:pPr>
        <w:ind w:right="67"/>
      </w:pPr>
      <w:r>
        <w:t>3.2. Mélanges</w:t>
      </w:r>
    </w:p>
    <w:tbl>
      <w:tblPr>
        <w:tblStyle w:val="10"/>
        <w:tblW w:w="9596" w:type="dxa"/>
        <w:tblInd w:w="-55" w:type="dxa"/>
        <w:tblLayout w:type="autofit"/>
        <w:tblCellMar>
          <w:top w:w="55" w:type="dxa"/>
          <w:left w:w="54" w:type="dxa"/>
          <w:bottom w:w="0" w:type="dxa"/>
          <w:right w:w="75" w:type="dxa"/>
        </w:tblCellMar>
      </w:tblPr>
      <w:tblGrid>
        <w:gridCol w:w="3510"/>
        <w:gridCol w:w="991"/>
        <w:gridCol w:w="779"/>
        <w:gridCol w:w="2998"/>
        <w:gridCol w:w="1318"/>
      </w:tblGrid>
      <w:tr>
        <w:tblPrEx>
          <w:tblCellMar>
            <w:top w:w="55" w:type="dxa"/>
            <w:left w:w="54" w:type="dxa"/>
            <w:bottom w:w="0" w:type="dxa"/>
            <w:right w:w="75" w:type="dxa"/>
          </w:tblCellMar>
        </w:tblPrEx>
        <w:trPr>
          <w:trHeight w:val="348"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5" w:type="dxa"/>
            <w:left w:w="54" w:type="dxa"/>
            <w:bottom w:w="0" w:type="dxa"/>
            <w:right w:w="75" w:type="dxa"/>
          </w:tblCellMar>
        </w:tblPrEx>
        <w:trPr>
          <w:trHeight w:val="474"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1,3-benzodioxole-5-carbaldehyde (heliotropin)</w:t>
            </w:r>
          </w:p>
          <w:p>
            <w:pPr>
              <w:spacing w:after="0" w:line="259" w:lineRule="auto"/>
              <w:ind w:left="1" w:firstLine="0"/>
              <w:jc w:val="left"/>
            </w:pPr>
            <w:r>
              <w:rPr>
                <w:sz w:val="16"/>
              </w:rPr>
              <w:t>(No REACH : 01-2119983608-21-XXXX)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120-57-0</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204-409-7</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Skin Sens. 1B - H317</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bl>
    <w:p>
      <w:pPr>
        <w:spacing w:after="957"/>
        <w:ind w:left="-5" w:right="67"/>
      </w:pPr>
      <w:r>
        <w:t>COMPOSITION : Mélange de matiéres premières aromatiques.</w:t>
      </w:r>
    </w:p>
    <w:p>
      <w:pPr>
        <w:pStyle w:val="4"/>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2"/>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4"/>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5"/>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4"/>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3"/>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4"/>
        <w:ind w:left="-5"/>
      </w:pPr>
      <w:r>
        <w:t>7: MANIPULATION ET STOCKAGE</w:t>
      </w:r>
    </w:p>
    <w:p>
      <w:pPr>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6"/>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4"/>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ind w:right="67"/>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2"/>
        <w:ind w:left="-5" w:right="2006"/>
        <w:jc w:val="left"/>
      </w:pPr>
      <w:r>
        <w:rPr>
          <w:sz w:val="18"/>
        </w:rPr>
        <w:t>Mesures organisationnelles visant à prévenir l'exposition: pas de mesures spécifiques. Mesures techniques visant à prévenir l'exposition: pas de mesures spécifiques.</w:t>
      </w:r>
    </w:p>
    <w:p>
      <w:pPr>
        <w:pStyle w:val="4"/>
        <w:ind w:left="-5"/>
      </w:pPr>
      <w:r>
        <w:t>9: PROPRIETES PHYSIQUES ET CHIMIQUES</w:t>
      </w:r>
    </w:p>
    <w:p>
      <w:pPr>
        <w:ind w:right="67"/>
      </w:pPr>
      <w:r>
        <w:t>9.1. Informations sur les propriétés physiques et chimiques essentielles</w:t>
      </w:r>
    </w:p>
    <w:tbl>
      <w:tblPr>
        <w:tblStyle w:val="10"/>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0"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bl>
    <w:p>
      <w:pPr>
        <w:tabs>
          <w:tab w:val="center" w:pos="4170"/>
        </w:tabs>
        <w:spacing w:after="304" w:line="248" w:lineRule="auto"/>
        <w:ind w:left="-15" w:firstLine="0"/>
        <w:jc w:val="left"/>
      </w:pPr>
      <w:r>
        <w:rPr>
          <w:rFonts w:ascii="Tahoma" w:hAnsi="Tahoma" w:eastAsia="Tahoma" w:cs="Tahoma"/>
          <w:sz w:val="18"/>
        </w:rPr>
        <w:t>Caractéristiques des particules :</w:t>
      </w:r>
      <w:r>
        <w:rPr>
          <w:rFonts w:ascii="Tahoma" w:hAnsi="Tahoma" w:eastAsia="Tahoma" w:cs="Tahoma"/>
          <w:sz w:val="18"/>
        </w:rPr>
        <w:tab/>
      </w:r>
      <w:r>
        <w:rPr>
          <w:rFonts w:ascii="Tahoma" w:hAnsi="Tahoma" w:eastAsia="Tahoma" w:cs="Tahoma"/>
          <w:b/>
          <w:sz w:val="18"/>
        </w:rPr>
        <w:t>non applicable (liquide)</w:t>
      </w:r>
    </w:p>
    <w:p>
      <w:pPr>
        <w:spacing w:after="158"/>
        <w:ind w:right="67"/>
      </w:pPr>
      <w:r>
        <w:t>9.2. Autres informations</w:t>
      </w:r>
    </w:p>
    <w:p>
      <w:pPr>
        <w:spacing w:after="107" w:line="248" w:lineRule="auto"/>
        <w:ind w:left="-5" w:right="703"/>
        <w:jc w:val="left"/>
      </w:pPr>
      <w:r>
        <w:rPr>
          <w:rFonts w:ascii="Tahoma" w:hAnsi="Tahoma" w:eastAsia="Tahoma" w:cs="Tahoma"/>
          <w:sz w:val="18"/>
        </w:rPr>
        <w:t>Indice de réfraction (@20°C) :</w:t>
      </w:r>
    </w:p>
    <w:p>
      <w:pPr>
        <w:spacing w:after="171" w:line="244" w:lineRule="auto"/>
        <w:ind w:left="3096" w:hanging="3096"/>
        <w:jc w:val="left"/>
      </w:pPr>
      <w:r>
        <w:rPr>
          <w:rFonts w:ascii="Tahoma" w:hAnsi="Tahoma" w:eastAsia="Tahoma" w:cs="Tahoma"/>
          <w:sz w:val="18"/>
        </w:rPr>
        <w:t>Conditions de stockage :</w:t>
      </w:r>
      <w:r>
        <w:rPr>
          <w:rFonts w:ascii="Tahoma" w:hAnsi="Tahoma" w:eastAsia="Tahoma" w:cs="Tahoma"/>
          <w:sz w:val="18"/>
        </w:rPr>
        <w:tab/>
      </w:r>
      <w:r>
        <w:rPr>
          <w:rFonts w:ascii="Tahoma" w:hAnsi="Tahoma" w:eastAsia="Tahoma" w:cs="Tahoma"/>
          <w:b/>
          <w:sz w:val="18"/>
        </w:rPr>
        <w:t>24 mois à faible température entre 15°C et 20°C dans un récipient fermé hermétiquement et à l'abri de la lumière.</w:t>
      </w:r>
    </w:p>
    <w:p>
      <w:pPr>
        <w:pStyle w:val="4"/>
        <w:ind w:left="-5"/>
      </w:pPr>
      <w:r>
        <w:t>10: STABILITE ET REACTIVITE</w:t>
      </w:r>
    </w:p>
    <w:p>
      <w:pPr>
        <w:spacing w:after="156"/>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699"/>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5" w:line="425"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4"/>
        <w:ind w:left="-5"/>
      </w:pPr>
      <w:r>
        <w:t>11: INFORMATIONS TOXICOLOGIQUES</w:t>
      </w:r>
    </w:p>
    <w:p>
      <w:r>
        <w:t>11.1. Informations sur les classes de danger telles que définies dans le règlement (CE) nº 1272/2008</w:t>
      </w:r>
    </w:p>
    <w:p>
      <w:pPr>
        <w:numPr>
          <w:ilvl w:val="0"/>
          <w:numId w:val="2"/>
        </w:numPr>
        <w:ind w:right="5644" w:hanging="233"/>
      </w:pPr>
      <w:r>
        <w:t>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644" w:hanging="233"/>
      </w:pPr>
      <w:r>
        <w:t>corrosion cutanée/irritation cutanéevoir section 2</w:t>
      </w:r>
    </w:p>
    <w:p>
      <w:pPr>
        <w:numPr>
          <w:ilvl w:val="0"/>
          <w:numId w:val="2"/>
        </w:numPr>
        <w:spacing w:after="193"/>
        <w:ind w:right="5644" w:hanging="233"/>
      </w:pPr>
      <w:r>
        <w:t>lésions oculaires graves/irritation oculairevoir section 2</w:t>
      </w:r>
    </w:p>
    <w:p>
      <w:pPr>
        <w:numPr>
          <w:ilvl w:val="0"/>
          <w:numId w:val="2"/>
        </w:numPr>
        <w:spacing w:after="193"/>
        <w:ind w:right="5644" w:hanging="233"/>
      </w:pPr>
      <w:r>
        <w:t>sensibilisation respiratoire ou cutanéevoir section 2</w:t>
      </w:r>
    </w:p>
    <w:p>
      <w:pPr>
        <w:numPr>
          <w:ilvl w:val="0"/>
          <w:numId w:val="2"/>
        </w:numPr>
        <w:spacing w:after="193"/>
        <w:ind w:right="5644" w:hanging="233"/>
      </w:pPr>
      <w:r>
        <w:t>mutagénicité sur les cellules germinalesvoir section 2</w:t>
      </w:r>
    </w:p>
    <w:p>
      <w:pPr>
        <w:numPr>
          <w:ilvl w:val="0"/>
          <w:numId w:val="2"/>
        </w:numPr>
        <w:spacing w:after="193"/>
        <w:ind w:right="5644" w:hanging="233"/>
      </w:pPr>
      <w:r>
        <w:t>cancérogénicitévoir section 2</w:t>
      </w:r>
    </w:p>
    <w:p>
      <w:pPr>
        <w:numPr>
          <w:ilvl w:val="0"/>
          <w:numId w:val="2"/>
        </w:numPr>
        <w:spacing w:after="193"/>
        <w:ind w:right="5644" w:hanging="233"/>
      </w:pPr>
      <w:r>
        <w:t>toxicité pour la reproductionvoir section 2</w:t>
      </w:r>
    </w:p>
    <w:p>
      <w:pPr>
        <w:numPr>
          <w:ilvl w:val="0"/>
          <w:numId w:val="2"/>
        </w:numPr>
        <w:spacing w:after="193"/>
        <w:ind w:right="5644" w:hanging="233"/>
      </w:pPr>
      <w:r>
        <w:t>toxicité spécifique pour certains organes cibles (STOT) - exposition uniquevoir section 2</w:t>
      </w:r>
    </w:p>
    <w:p>
      <w:pPr>
        <w:numPr>
          <w:ilvl w:val="0"/>
          <w:numId w:val="2"/>
        </w:numPr>
        <w:spacing w:after="193"/>
        <w:ind w:right="5644" w:hanging="233"/>
      </w:pPr>
      <w:r>
        <w:t>toxicité spécifique pour certains organes cibles (STOT) - exposition répétéevoir section 2</w:t>
      </w:r>
    </w:p>
    <w:p>
      <w:pPr>
        <w:numPr>
          <w:ilvl w:val="0"/>
          <w:numId w:val="2"/>
        </w:numPr>
        <w:spacing w:after="920"/>
        <w:ind w:right="5644"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4"/>
        <w:ind w:left="-5"/>
      </w:pPr>
      <w:r>
        <w:t>12: INFORMATIONS ECOLOGIQUES</w:t>
      </w:r>
    </w:p>
    <w:p>
      <w:pPr>
        <w:spacing w:after="153"/>
        <w:ind w:right="67"/>
      </w:pPr>
      <w:r>
        <w:t>12.1. Toxicité</w:t>
      </w:r>
    </w:p>
    <w:p>
      <w:pPr>
        <w:spacing w:after="702"/>
        <w:ind w:left="-5" w:right="67"/>
      </w:pPr>
      <w:r>
        <w:t>Ne pas laisser le produit, non dilué ou en grande quantité, pénétrer la nappe phréatique, les eaux superficielles ou les égouts.</w:t>
      </w:r>
    </w:p>
    <w:p>
      <w:pPr>
        <w:spacing w:line="427" w:lineRule="auto"/>
        <w:ind w:left="-15" w:right="5591" w:firstLine="737"/>
      </w:pPr>
      <w:r>
        <w:t>12.2. Persistance et dégradabilité Pas de données à ce jour.</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1398" w:left="1190" w:header="720" w:footer="878" w:gutter="0"/>
          <w:cols w:space="720" w:num="1"/>
          <w:titlePg/>
        </w:sectPr>
      </w:pPr>
    </w:p>
    <w:tbl>
      <w:tblPr>
        <w:tblStyle w:val="10"/>
        <w:tblW w:w="9640" w:type="dxa"/>
        <w:tblInd w:w="-56" w:type="dxa"/>
        <w:tblLayout w:type="autofit"/>
        <w:tblCellMar>
          <w:top w:w="45" w:type="dxa"/>
          <w:left w:w="0" w:type="dxa"/>
          <w:bottom w:w="0" w:type="dxa"/>
          <w:right w:w="53" w:type="dxa"/>
        </w:tblCellMar>
      </w:tblPr>
      <w:tblGrid>
        <w:gridCol w:w="6615"/>
        <w:gridCol w:w="3025"/>
      </w:tblGrid>
      <w:tr>
        <w:tblPrEx>
          <w:tblCellMar>
            <w:top w:w="45"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5" w:type="dxa"/>
            <w:left w:w="0" w:type="dxa"/>
            <w:bottom w:w="0" w:type="dxa"/>
            <w:right w:w="53" w:type="dxa"/>
          </w:tblCellMar>
        </w:tblPrEx>
        <w:trPr>
          <w:trHeight w:val="7986"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928" w:line="259" w:lineRule="auto"/>
              <w:ind w:left="0" w:firstLine="0"/>
              <w:jc w:val="left"/>
            </w:pPr>
            <w:r>
              <w:rPr>
                <w:sz w:val="16"/>
              </w:rPr>
              <w:t>Édité le :</w:t>
            </w:r>
            <w:r>
              <w:rPr>
                <w:sz w:val="16"/>
              </w:rPr>
              <w:tab/>
            </w:r>
            <w:r>
              <w:rPr>
                <w:sz w:val="16"/>
              </w:rPr>
              <w:t>09/02/2022</w:t>
            </w:r>
            <w:r>
              <w:rPr>
                <w:sz w:val="16"/>
              </w:rPr>
              <w:tab/>
            </w:r>
            <w:r>
              <w:rPr>
                <w:sz w:val="16"/>
              </w:rPr>
              <w:t>Crème brulée 10%</w:t>
            </w:r>
          </w:p>
          <w:p>
            <w:pPr>
              <w:spacing w:after="542" w:line="427" w:lineRule="auto"/>
              <w:ind w:left="56" w:right="2389" w:firstLine="737"/>
              <w:jc w:val="left"/>
            </w:pPr>
            <w:r>
              <w:t>12.3. Potentiel de bioaccumulation Pas de données à ce jour.</w:t>
            </w:r>
          </w:p>
          <w:p>
            <w:pPr>
              <w:spacing w:after="545" w:line="425" w:lineRule="auto"/>
              <w:ind w:left="56" w:right="3243" w:firstLine="737"/>
              <w:jc w:val="left"/>
            </w:pPr>
            <w:r>
              <w:t>12.4. Mobilité dans le sol Pas de données à ce jour.</w:t>
            </w:r>
          </w:p>
          <w:p>
            <w:pPr>
              <w:spacing w:after="542" w:line="427" w:lineRule="auto"/>
              <w:ind w:left="56" w:right="1486" w:firstLine="737"/>
              <w:jc w:val="left"/>
            </w:pPr>
            <w:r>
              <w:t>12.5. Résultats des évaluations PBT et vPvB Pas de données à ce jour.</w:t>
            </w:r>
          </w:p>
          <w:p>
            <w:pPr>
              <w:spacing w:after="540"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09/02/2022</w:t>
            </w:r>
          </w:p>
        </w:tc>
      </w:tr>
      <w:tr>
        <w:tblPrEx>
          <w:tblCellMar>
            <w:top w:w="45"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3"/>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Bdr>
          <w:top w:val="single" w:color="7F7F7F" w:sz="2" w:space="0"/>
          <w:left w:val="single" w:color="7F7F7F" w:sz="2" w:space="0"/>
          <w:bottom w:val="single" w:color="7F7F7F" w:sz="2" w:space="0"/>
          <w:right w:val="single" w:color="7F7F7F" w:sz="2" w:space="0"/>
        </w:pBdr>
        <w:shd w:val="clear" w:color="auto" w:fill="E0E0E0"/>
        <w:spacing w:after="139" w:line="259" w:lineRule="auto"/>
        <w:ind w:left="-5"/>
        <w:jc w:val="left"/>
      </w:pPr>
      <w:r>
        <w:rPr>
          <w:sz w:val="22"/>
        </w:rPr>
        <w:t>14: INFORMATIONS RELATIVES AU TRANSPORT</w:t>
      </w:r>
    </w:p>
    <w:p>
      <w:pPr>
        <w:ind w:left="-5" w:right="67"/>
      </w:pPr>
      <w:r>
        <w:t xml:space="preserve">Le transport peut avoir lieu conformément aux réglementations nationales ou au transport terrestre </w:t>
      </w:r>
    </w:p>
    <w:p>
      <w:pPr>
        <w:pStyle w:val="2"/>
        <w:ind w:right="333"/>
      </w:pPr>
      <w:r>
        <w:t>Fiche de données de securité</w:t>
      </w:r>
    </w:p>
    <w:p>
      <w:pPr>
        <w:tabs>
          <w:tab w:val="center" w:pos="1779"/>
          <w:tab w:val="center" w:pos="4147"/>
          <w:tab w:val="center" w:pos="8045"/>
        </w:tabs>
        <w:spacing w:after="218" w:line="259" w:lineRule="auto"/>
        <w:ind w:left="-15" w:firstLine="0"/>
        <w:jc w:val="left"/>
      </w:pPr>
      <w:r>
        <w:rPr>
          <w:sz w:val="16"/>
        </w:rPr>
        <w:t>Édité le :</w:t>
      </w:r>
      <w:r>
        <w:rPr>
          <w:sz w:val="16"/>
        </w:rPr>
        <w:tab/>
      </w:r>
      <w:r>
        <w:rPr>
          <w:sz w:val="16"/>
        </w:rPr>
        <w:t>09/02/2022</w:t>
      </w:r>
      <w:r>
        <w:rPr>
          <w:sz w:val="16"/>
        </w:rPr>
        <w:tab/>
      </w:r>
      <w:r>
        <w:rPr>
          <w:sz w:val="16"/>
        </w:rPr>
        <w:t>Crème brulée 10%</w:t>
      </w:r>
      <w:r>
        <w:rPr>
          <w:sz w:val="16"/>
        </w:rPr>
        <w:tab/>
      </w:r>
      <w:r>
        <w:rPr>
          <w:sz w:val="16"/>
        </w:rPr>
        <w:t>Révision : 001NEW-1-CLP du 09/02/2022</w:t>
      </w:r>
    </w:p>
    <w:p>
      <w:pPr>
        <w:ind w:left="-5" w:right="326"/>
      </w:pPr>
      <w:r>
        <w:t>(ADR/RID), transport maritime (IMDG) ou transport aérien (ICAO-TI/IATA-DGR). Les articles 14.1 à 14.5 s'appliquent à tous. La substance n'est pas transportée par voie fluviale, l'information en ce qui concerne l'ADN n'est donc pas pertinente.</w:t>
      </w:r>
    </w:p>
    <w:p>
      <w:pPr>
        <w:spacing w:after="694"/>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1"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0" w:lineRule="auto"/>
        <w:ind w:left="-5" w:right="7405"/>
        <w:jc w:val="left"/>
      </w:pPr>
      <w:r>
        <w:rPr>
          <w:rFonts w:ascii="Microsoft Sans Serif" w:hAnsi="Microsoft Sans Serif" w:eastAsia="Microsoft Sans Serif" w:cs="Microsoft Sans Serif"/>
          <w:sz w:val="17"/>
        </w:rPr>
        <w:t>IMDG : NON REGLEMENTE</w:t>
      </w:r>
    </w:p>
    <w:p>
      <w:pPr>
        <w:spacing w:after="134"/>
        <w:ind w:right="67"/>
      </w:pPr>
      <w:r>
        <w:t>14.6. Précautions particulières à prendre par l’utilisateur</w:t>
      </w:r>
    </w:p>
    <w:p>
      <w:pPr>
        <w:spacing w:after="326" w:line="250"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ind w:left="-5" w:right="326"/>
      </w:pPr>
      <w: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w:t>
      </w:r>
    </w:p>
    <w:p>
      <w:pPr>
        <w:pStyle w:val="2"/>
        <w:ind w:right="333"/>
      </w:pPr>
      <w:r>
        <w:t>Fiche de données de securité</w:t>
      </w:r>
    </w:p>
    <w:p>
      <w:pPr>
        <w:tabs>
          <w:tab w:val="center" w:pos="1779"/>
          <w:tab w:val="center" w:pos="4147"/>
          <w:tab w:val="center" w:pos="8045"/>
        </w:tabs>
        <w:spacing w:after="218" w:line="259" w:lineRule="auto"/>
        <w:ind w:left="-15" w:firstLine="0"/>
        <w:jc w:val="left"/>
      </w:pPr>
      <w:r>
        <w:rPr>
          <w:sz w:val="16"/>
        </w:rPr>
        <w:t>Édité le :</w:t>
      </w:r>
      <w:r>
        <w:rPr>
          <w:sz w:val="16"/>
        </w:rPr>
        <w:tab/>
      </w:r>
      <w:r>
        <w:rPr>
          <w:sz w:val="16"/>
        </w:rPr>
        <w:t>09/02/2022</w:t>
      </w:r>
      <w:r>
        <w:rPr>
          <w:sz w:val="16"/>
        </w:rPr>
        <w:tab/>
      </w:r>
      <w:r>
        <w:rPr>
          <w:sz w:val="16"/>
        </w:rPr>
        <w:t>Crème brulée 10%</w:t>
      </w:r>
      <w:r>
        <w:rPr>
          <w:sz w:val="16"/>
        </w:rPr>
        <w:tab/>
      </w:r>
      <w:r>
        <w:rPr>
          <w:sz w:val="16"/>
        </w:rPr>
        <w:t>Révision : 001NEW-1-CLP du 09/02/2022</w:t>
      </w:r>
    </w:p>
    <w:p>
      <w:pPr>
        <w:spacing w:after="193"/>
        <w:ind w:left="-5" w:right="67"/>
      </w:pPr>
      <w:r>
        <w:t>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185"/>
        </w:tabs>
        <w:spacing w:after="108"/>
        <w:ind w:left="-15" w:firstLine="0"/>
        <w:jc w:val="left"/>
      </w:pPr>
      <w:r>
        <w:rPr>
          <w:sz w:val="18"/>
        </w:rPr>
        <w:t>H317</w:t>
      </w:r>
      <w:r>
        <w:rPr>
          <w:sz w:val="18"/>
        </w:rPr>
        <w:tab/>
      </w:r>
      <w:r>
        <w:rPr>
          <w:sz w:val="18"/>
        </w:rPr>
        <w:t>Peut provoquer une allergie cutanée.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1314" w:left="1190" w:header="720" w:footer="8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6"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6"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66"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11</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09/02/2022</w:t>
    </w:r>
    <w:r>
      <w:rPr>
        <w:sz w:val="16"/>
      </w:rPr>
      <w:tab/>
    </w:r>
    <w:r>
      <w:rPr>
        <w:sz w:val="16"/>
      </w:rPr>
      <w:t>Crème brulée 10%</w:t>
    </w:r>
    <w:r>
      <w:rPr>
        <w:sz w:val="16"/>
      </w:rPr>
      <w:tab/>
    </w:r>
    <w:r>
      <w:rPr>
        <w:sz w:val="16"/>
      </w:rPr>
      <w:t>Révision : 001NEW-1-CLP du 09/02/2022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09/02/2022</w:t>
    </w:r>
    <w:r>
      <w:rPr>
        <w:sz w:val="16"/>
      </w:rPr>
      <w:tab/>
    </w:r>
    <w:r>
      <w:rPr>
        <w:sz w:val="16"/>
      </w:rPr>
      <w:t>Crème brulée 10%</w:t>
    </w:r>
    <w:r>
      <w:rPr>
        <w:sz w:val="16"/>
      </w:rPr>
      <w:tab/>
    </w:r>
    <w:r>
      <w:rPr>
        <w:sz w:val="16"/>
      </w:rPr>
      <w:t>Révision : 001NEW-1-CLP du 09/02/2022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80496"/>
    <w:multiLevelType w:val="multilevel"/>
    <w:tmpl w:val="36680496"/>
    <w:lvl w:ilvl="0" w:tentative="0">
      <w:start w:val="1"/>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40845825"/>
    <w:multiLevelType w:val="multilevel"/>
    <w:tmpl w:val="40845825"/>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5C515E37"/>
    <w:multiLevelType w:val="multilevel"/>
    <w:tmpl w:val="5C515E37"/>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EC"/>
    <w:rsid w:val="000E5C32"/>
    <w:rsid w:val="0057701F"/>
    <w:rsid w:val="00AB7DEC"/>
    <w:rsid w:val="00EC12BE"/>
    <w:rsid w:val="25383108"/>
    <w:rsid w:val="5C90187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0" w:line="259" w:lineRule="auto"/>
      <w:ind w:left="10" w:right="88" w:hanging="10"/>
      <w:jc w:val="center"/>
      <w:outlineLvl w:val="0"/>
    </w:pPr>
    <w:rPr>
      <w:rFonts w:ascii="Arial" w:hAnsi="Arial" w:eastAsia="Arial" w:cs="Arial"/>
      <w:b/>
      <w:color w:val="000000"/>
      <w:sz w:val="36"/>
      <w:szCs w:val="22"/>
      <w:lang w:val="fr-FR" w:eastAsia="fr-FR" w:bidi="ar-SA"/>
    </w:rPr>
  </w:style>
  <w:style w:type="paragraph" w:styleId="3">
    <w:name w:val="heading 2"/>
    <w:next w:val="1"/>
    <w:link w:val="8"/>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paragraph" w:styleId="4">
    <w:name w:val="heading 3"/>
    <w:next w:val="1"/>
    <w:link w:val="9"/>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2"/>
    </w:pPr>
    <w:rPr>
      <w:rFonts w:ascii="Arial" w:hAnsi="Arial" w:eastAsia="Arial" w:cs="Arial"/>
      <w:color w:val="000000"/>
      <w:sz w:val="22"/>
      <w:szCs w:val="22"/>
      <w:lang w:val="fr-FR" w:eastAsia="fr-FR"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customStyle="1" w:styleId="7">
    <w:name w:val="Titre 1 Car"/>
    <w:link w:val="2"/>
    <w:qFormat/>
    <w:uiPriority w:val="0"/>
    <w:rPr>
      <w:rFonts w:ascii="Arial" w:hAnsi="Arial" w:eastAsia="Arial" w:cs="Arial"/>
      <w:b/>
      <w:color w:val="000000"/>
      <w:sz w:val="36"/>
    </w:rPr>
  </w:style>
  <w:style w:type="character" w:customStyle="1" w:styleId="8">
    <w:name w:val="Titre 2 Car"/>
    <w:link w:val="3"/>
    <w:uiPriority w:val="0"/>
    <w:rPr>
      <w:rFonts w:ascii="Arial" w:hAnsi="Arial" w:eastAsia="Arial" w:cs="Arial"/>
      <w:color w:val="000000"/>
      <w:sz w:val="22"/>
    </w:rPr>
  </w:style>
  <w:style w:type="character" w:customStyle="1" w:styleId="9">
    <w:name w:val="Titre 3 Car"/>
    <w:link w:val="4"/>
    <w:uiPriority w:val="0"/>
    <w:rPr>
      <w:rFonts w:ascii="Arial" w:hAnsi="Arial" w:eastAsia="Arial" w:cs="Arial"/>
      <w:color w:val="000000"/>
      <w:sz w:val="22"/>
    </w:rPr>
  </w:style>
  <w:style w:type="table" w:customStyle="1" w:styleId="10">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2794</Words>
  <Characters>15372</Characters>
  <Lines>128</Lines>
  <Paragraphs>36</Paragraphs>
  <TotalTime>0</TotalTime>
  <ScaleCrop>false</ScaleCrop>
  <LinksUpToDate>false</LinksUpToDate>
  <CharactersWithSpaces>18130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2022-02-09T15:27:00Z</dcterms:created>
  <dc:creator>stagiaire</dc:creator>
  <cp:lastModifiedBy>Laetitia Castro</cp:lastModifiedBy>
  <dcterms:modified xsi:type="dcterms:W3CDTF">2024-02-08T09:49:36Z</dcterms:modified>
  <dc:title>Fiche de données de sécurité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1EA99CF82DDA4339978EBCC888F8519B</vt:lpwstr>
  </property>
</Properties>
</file>